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6BA36" w14:textId="77777777" w:rsidR="00464C5B" w:rsidRDefault="00464C5B" w:rsidP="00FA5AB9">
      <w:pPr>
        <w:tabs>
          <w:tab w:val="left" w:pos="720"/>
          <w:tab w:val="left" w:pos="9450"/>
        </w:tabs>
        <w:spacing w:after="0" w:line="276" w:lineRule="auto"/>
        <w:jc w:val="both"/>
        <w:rPr>
          <w:b/>
        </w:rPr>
      </w:pPr>
      <w:r>
        <w:tab/>
      </w:r>
      <w:r w:rsidRPr="00C95FA4">
        <w:t xml:space="preserve"> </w:t>
      </w:r>
      <w:r>
        <w:rPr>
          <w:b/>
        </w:rPr>
        <w:t xml:space="preserve">Phụ lục. </w:t>
      </w:r>
      <w:r w:rsidRPr="00C95FA4">
        <w:rPr>
          <w:b/>
        </w:rPr>
        <w:t>Đ</w:t>
      </w:r>
      <w:r>
        <w:rPr>
          <w:b/>
        </w:rPr>
        <w:t>ề</w:t>
      </w:r>
      <w:r w:rsidRPr="00C95FA4">
        <w:rPr>
          <w:b/>
        </w:rPr>
        <w:t xml:space="preserve"> cương báo cáo r</w:t>
      </w:r>
      <w:r>
        <w:rPr>
          <w:b/>
        </w:rPr>
        <w:t xml:space="preserve">à </w:t>
      </w:r>
      <w:r w:rsidRPr="00C95FA4">
        <w:rPr>
          <w:b/>
        </w:rPr>
        <w:t xml:space="preserve">soát, đánh giá việc thực hiện Thông tư </w:t>
      </w:r>
    </w:p>
    <w:p w14:paraId="50128DF2" w14:textId="77777777" w:rsidR="00464C5B" w:rsidRDefault="00464C5B" w:rsidP="00FA5AB9">
      <w:pPr>
        <w:spacing w:after="0"/>
        <w:ind w:firstLine="562"/>
        <w:jc w:val="center"/>
        <w:rPr>
          <w:b/>
        </w:rPr>
      </w:pPr>
      <w:r w:rsidRPr="00C95FA4">
        <w:rPr>
          <w:b/>
        </w:rPr>
        <w:t>số 32/2020/TT-BGD</w:t>
      </w:r>
      <w:r>
        <w:rPr>
          <w:b/>
        </w:rPr>
        <w:t>Đ</w:t>
      </w:r>
      <w:r w:rsidRPr="00C95FA4">
        <w:rPr>
          <w:b/>
        </w:rPr>
        <w:t>T, Thông tư số 22/2021/TT-BGD</w:t>
      </w:r>
      <w:r>
        <w:rPr>
          <w:b/>
        </w:rPr>
        <w:t>Đ</w:t>
      </w:r>
      <w:r w:rsidRPr="00C95FA4">
        <w:rPr>
          <w:b/>
        </w:rPr>
        <w:t xml:space="preserve">T, Thông tư </w:t>
      </w:r>
    </w:p>
    <w:p w14:paraId="72DC5F24" w14:textId="77777777" w:rsidR="00464C5B" w:rsidRDefault="00464C5B" w:rsidP="00FA5AB9">
      <w:pPr>
        <w:spacing w:after="0"/>
        <w:ind w:firstLine="562"/>
        <w:jc w:val="center"/>
      </w:pPr>
      <w:r w:rsidRPr="00C95FA4">
        <w:rPr>
          <w:b/>
        </w:rPr>
        <w:t>số 03/2023/TT-BGD</w:t>
      </w:r>
      <w:r>
        <w:rPr>
          <w:b/>
        </w:rPr>
        <w:t>Đ</w:t>
      </w:r>
      <w:r w:rsidRPr="00C95FA4">
        <w:rPr>
          <w:b/>
        </w:rPr>
        <w:t>T và Thông tư số 04/2023/TT-BGD</w:t>
      </w:r>
      <w:r>
        <w:rPr>
          <w:b/>
        </w:rPr>
        <w:t>Đ</w:t>
      </w:r>
      <w:r w:rsidRPr="00C95FA4">
        <w:rPr>
          <w:b/>
        </w:rPr>
        <w:t>T</w:t>
      </w:r>
    </w:p>
    <w:p w14:paraId="36BD8BD2" w14:textId="77777777" w:rsidR="00464C5B" w:rsidRPr="00C95FA4" w:rsidRDefault="00464C5B" w:rsidP="00A119A4">
      <w:pPr>
        <w:spacing w:line="288" w:lineRule="auto"/>
        <w:ind w:firstLine="567"/>
        <w:jc w:val="both"/>
        <w:rPr>
          <w:b/>
        </w:rPr>
      </w:pPr>
    </w:p>
    <w:p w14:paraId="20A9D686" w14:textId="77777777" w:rsidR="00464C5B" w:rsidRPr="0072458B" w:rsidRDefault="00464C5B" w:rsidP="00E90B51">
      <w:pPr>
        <w:spacing w:line="288" w:lineRule="auto"/>
        <w:ind w:firstLine="567"/>
        <w:jc w:val="both"/>
        <w:rPr>
          <w:b/>
        </w:rPr>
      </w:pPr>
      <w:r w:rsidRPr="00C95FA4">
        <w:rPr>
          <w:b/>
        </w:rPr>
        <w:t>I. R</w:t>
      </w:r>
      <w:r>
        <w:rPr>
          <w:b/>
        </w:rPr>
        <w:t>À</w:t>
      </w:r>
      <w:r w:rsidRPr="00C95FA4">
        <w:rPr>
          <w:b/>
        </w:rPr>
        <w:t xml:space="preserve"> SOÁT, ĐÁNH GIÁ VIỆC THỰC HIỆN CÁC THÔNG TƯ </w:t>
      </w:r>
      <w:r>
        <w:rPr>
          <w:b/>
        </w:rPr>
        <w:t xml:space="preserve">SỐ </w:t>
      </w:r>
      <w:r w:rsidRPr="00C95FA4">
        <w:rPr>
          <w:b/>
        </w:rPr>
        <w:t>32/2020/TT-BGDĐT, THÔNG TƯ SỐ 22/2021/TT-BGDĐT, THÔNG TƯ SỐ 03/2023/TT-BGDĐT VÀ THÔNG TƯ SỐ 04/2023/TT-BGDĐT</w:t>
      </w:r>
    </w:p>
    <w:p w14:paraId="2E97A75A" w14:textId="77777777" w:rsidR="00464C5B" w:rsidRPr="005E18BF" w:rsidRDefault="00464C5B" w:rsidP="00A119A4">
      <w:pPr>
        <w:spacing w:line="288" w:lineRule="auto"/>
        <w:ind w:firstLine="567"/>
        <w:jc w:val="both"/>
        <w:rPr>
          <w:b/>
        </w:rPr>
      </w:pPr>
      <w:r w:rsidRPr="005E18BF">
        <w:rPr>
          <w:b/>
        </w:rPr>
        <w:t>1. Công tác chỉ đạo, hướng dẫn triển khai</w:t>
      </w:r>
    </w:p>
    <w:p w14:paraId="0AFBE4EA" w14:textId="77777777" w:rsidR="00464C5B" w:rsidRPr="005E18BF" w:rsidRDefault="00464C5B" w:rsidP="00A119A4">
      <w:pPr>
        <w:spacing w:line="288" w:lineRule="auto"/>
        <w:ind w:firstLine="567"/>
        <w:jc w:val="both"/>
        <w:rPr>
          <w:b/>
        </w:rPr>
      </w:pPr>
      <w:r w:rsidRPr="005E18BF">
        <w:rPr>
          <w:b/>
        </w:rPr>
        <w:t>2. Tổ chức triển khai các quy định về đánh giá học sinh trung học cơ sở và học sinh trung học phổ thông</w:t>
      </w:r>
    </w:p>
    <w:p w14:paraId="7C89A7D7" w14:textId="77777777" w:rsidR="00464C5B" w:rsidRDefault="00464C5B" w:rsidP="00A119A4">
      <w:pPr>
        <w:spacing w:line="288" w:lineRule="auto"/>
        <w:ind w:firstLine="567"/>
        <w:jc w:val="both"/>
      </w:pPr>
      <w:r w:rsidRPr="00C95FA4">
        <w:t xml:space="preserve">a) Quy định về hình thức đánh giá </w:t>
      </w:r>
    </w:p>
    <w:p w14:paraId="47F8E435" w14:textId="77777777" w:rsidR="00464C5B" w:rsidRDefault="00464C5B" w:rsidP="00A119A4">
      <w:pPr>
        <w:spacing w:line="288" w:lineRule="auto"/>
        <w:ind w:firstLine="567"/>
        <w:jc w:val="both"/>
      </w:pPr>
      <w:r w:rsidRPr="00C95FA4">
        <w:t>b) Quy định về đánh giá thường xuyên và đánh giá định kỳ</w:t>
      </w:r>
    </w:p>
    <w:p w14:paraId="32579DE5" w14:textId="77777777" w:rsidR="00464C5B" w:rsidRDefault="00464C5B" w:rsidP="00E90B51">
      <w:pPr>
        <w:tabs>
          <w:tab w:val="left" w:pos="540"/>
        </w:tabs>
        <w:spacing w:line="288" w:lineRule="auto"/>
        <w:ind w:firstLine="540"/>
        <w:jc w:val="both"/>
      </w:pPr>
      <w:r w:rsidRPr="00C95FA4">
        <w:t xml:space="preserve">c) Quy định về đánh giá kết quả rèn luyện và kết quả học tập của học sinh </w:t>
      </w:r>
      <w:r>
        <w:t xml:space="preserve">                                           </w:t>
      </w:r>
      <w:r>
        <w:tab/>
      </w:r>
      <w:r w:rsidRPr="00C95FA4">
        <w:t xml:space="preserve">d) Quy định về đánh giá học sinh được miễn học phần thực hành môn Giáo dục thể chất, Giáo dục quốc phòng và an ninh </w:t>
      </w:r>
    </w:p>
    <w:p w14:paraId="66512F75" w14:textId="77777777" w:rsidR="00464C5B" w:rsidRDefault="00464C5B" w:rsidP="00A119A4">
      <w:pPr>
        <w:spacing w:line="288" w:lineRule="auto"/>
        <w:ind w:firstLine="567"/>
        <w:jc w:val="both"/>
      </w:pPr>
      <w:r w:rsidRPr="00C95FA4">
        <w:t xml:space="preserve">e) Quy định về đánh giá học sinh khuyết tật </w:t>
      </w:r>
    </w:p>
    <w:p w14:paraId="53969077" w14:textId="77777777" w:rsidR="00464C5B" w:rsidRDefault="00464C5B" w:rsidP="00A119A4">
      <w:pPr>
        <w:spacing w:line="288" w:lineRule="auto"/>
        <w:ind w:firstLine="567"/>
        <w:jc w:val="both"/>
      </w:pPr>
      <w:r w:rsidRPr="00C95FA4">
        <w:t xml:space="preserve">f) Quy định về sử dụng kết quả đánh giá </w:t>
      </w:r>
    </w:p>
    <w:p w14:paraId="523113D3" w14:textId="77777777" w:rsidR="00464C5B" w:rsidRPr="00C95FA4" w:rsidRDefault="00464C5B" w:rsidP="00A119A4">
      <w:pPr>
        <w:spacing w:line="288" w:lineRule="auto"/>
        <w:ind w:firstLine="567"/>
        <w:jc w:val="both"/>
      </w:pPr>
      <w:r w:rsidRPr="00C95FA4">
        <w:t>g) Quy định về trách nhiệm của cơ quan, tổ chức, cá nhân</w:t>
      </w:r>
    </w:p>
    <w:p w14:paraId="3FD26363" w14:textId="77777777" w:rsidR="00464C5B" w:rsidRDefault="00464C5B" w:rsidP="00A119A4">
      <w:pPr>
        <w:spacing w:line="288" w:lineRule="auto"/>
        <w:ind w:firstLine="567"/>
        <w:jc w:val="both"/>
      </w:pPr>
      <w:r w:rsidRPr="0072458B">
        <w:rPr>
          <w:b/>
        </w:rPr>
        <w:t>3. Tổ chức thực hiện các quy định về Điều lệ trường trung học cơ sở, trường trung học phổ thông và trường phổ thông có nhiều cấp học</w:t>
      </w:r>
    </w:p>
    <w:p w14:paraId="053BAFB9" w14:textId="77777777" w:rsidR="00464C5B" w:rsidRDefault="00464C5B" w:rsidP="00A119A4">
      <w:pPr>
        <w:spacing w:line="288" w:lineRule="auto"/>
        <w:ind w:firstLine="567"/>
        <w:jc w:val="both"/>
      </w:pPr>
      <w:r w:rsidRPr="00C95FA4">
        <w:t xml:space="preserve"> a) Quy định về tổ chức và quản lý nhà trường </w:t>
      </w:r>
    </w:p>
    <w:p w14:paraId="5DD10F1E" w14:textId="77777777" w:rsidR="00464C5B" w:rsidRDefault="00464C5B" w:rsidP="00A119A4">
      <w:pPr>
        <w:spacing w:line="288" w:lineRule="auto"/>
        <w:ind w:firstLine="567"/>
        <w:jc w:val="both"/>
      </w:pPr>
      <w:r w:rsidRPr="00C95FA4">
        <w:t xml:space="preserve">b) Quy định về tổ chức hoạt động giáo dục </w:t>
      </w:r>
    </w:p>
    <w:p w14:paraId="383DD39B" w14:textId="77777777" w:rsidR="00464C5B" w:rsidRDefault="00464C5B" w:rsidP="00A119A4">
      <w:pPr>
        <w:spacing w:line="288" w:lineRule="auto"/>
        <w:ind w:firstLine="567"/>
        <w:jc w:val="both"/>
      </w:pPr>
      <w:r w:rsidRPr="00C95FA4">
        <w:t xml:space="preserve">c) Quy định về nhiệm vụ và quyền của giáo viên, nhân viên </w:t>
      </w:r>
    </w:p>
    <w:p w14:paraId="36EBB5C1" w14:textId="77777777" w:rsidR="00464C5B" w:rsidRDefault="00464C5B" w:rsidP="00A119A4">
      <w:pPr>
        <w:spacing w:line="288" w:lineRule="auto"/>
        <w:ind w:firstLine="567"/>
        <w:jc w:val="both"/>
      </w:pPr>
      <w:r w:rsidRPr="00C95FA4">
        <w:t>d) Quy định về nhiệm vụ và quyền của học sinh</w:t>
      </w:r>
    </w:p>
    <w:p w14:paraId="0BA87BCB" w14:textId="77777777" w:rsidR="00464C5B" w:rsidRDefault="00464C5B" w:rsidP="00A119A4">
      <w:pPr>
        <w:spacing w:line="288" w:lineRule="auto"/>
        <w:ind w:firstLine="567"/>
        <w:jc w:val="both"/>
      </w:pPr>
      <w:r w:rsidRPr="00C95FA4">
        <w:t xml:space="preserve"> e) Quy định về tài sản và tài chính của nhà trường </w:t>
      </w:r>
    </w:p>
    <w:p w14:paraId="59A1C395" w14:textId="77777777" w:rsidR="00464C5B" w:rsidRPr="00C95FA4" w:rsidRDefault="00464C5B" w:rsidP="00A119A4">
      <w:pPr>
        <w:spacing w:line="288" w:lineRule="auto"/>
        <w:ind w:firstLine="567"/>
        <w:jc w:val="both"/>
      </w:pPr>
      <w:r w:rsidRPr="00C95FA4">
        <w:t>f) Quy định về quan hệ giữa nhà trường, gia đình và xã hội</w:t>
      </w:r>
    </w:p>
    <w:p w14:paraId="2DD904BF" w14:textId="77777777" w:rsidR="00464C5B" w:rsidRPr="0072458B" w:rsidRDefault="00464C5B" w:rsidP="00A119A4">
      <w:pPr>
        <w:spacing w:line="288" w:lineRule="auto"/>
        <w:ind w:firstLine="567"/>
        <w:jc w:val="both"/>
        <w:rPr>
          <w:b/>
        </w:rPr>
      </w:pPr>
      <w:r w:rsidRPr="0072458B">
        <w:rPr>
          <w:b/>
        </w:rPr>
        <w:t>4. Tổ chức thực hiện các quy định về Quy chế tổ chức và hoạt động của trường phổ thông dân tộc bán trú</w:t>
      </w:r>
    </w:p>
    <w:p w14:paraId="7997D026" w14:textId="77777777" w:rsidR="00464C5B" w:rsidRDefault="00464C5B" w:rsidP="00A119A4">
      <w:pPr>
        <w:spacing w:line="288" w:lineRule="auto"/>
        <w:ind w:firstLine="567"/>
        <w:jc w:val="both"/>
      </w:pPr>
      <w:r w:rsidRPr="00C95FA4">
        <w:t xml:space="preserve"> a) Quy định về tổ chức và quản lý nhà trường</w:t>
      </w:r>
    </w:p>
    <w:p w14:paraId="50194DEC" w14:textId="77777777" w:rsidR="00464C5B" w:rsidRDefault="00464C5B" w:rsidP="00A119A4">
      <w:pPr>
        <w:spacing w:line="288" w:lineRule="auto"/>
        <w:ind w:firstLine="567"/>
        <w:jc w:val="both"/>
      </w:pPr>
      <w:r w:rsidRPr="00C95FA4">
        <w:lastRenderedPageBreak/>
        <w:t xml:space="preserve"> b) Quy định về tổ chức hoạt động giáo dục của trường phổ thông dân tộc bán trú </w:t>
      </w:r>
    </w:p>
    <w:p w14:paraId="75CF23FC" w14:textId="77777777" w:rsidR="00464C5B" w:rsidRDefault="00464C5B" w:rsidP="00A119A4">
      <w:pPr>
        <w:spacing w:line="288" w:lineRule="auto"/>
        <w:ind w:firstLine="567"/>
        <w:jc w:val="both"/>
      </w:pPr>
      <w:r w:rsidRPr="00C95FA4">
        <w:t xml:space="preserve">c) Quy định về nhiệm vụ và quyền của giáo viên, nhân viên và học sinh </w:t>
      </w:r>
    </w:p>
    <w:p w14:paraId="26A45ECE" w14:textId="77777777" w:rsidR="00464C5B" w:rsidRPr="00C95FA4" w:rsidRDefault="00464C5B" w:rsidP="00A119A4">
      <w:pPr>
        <w:spacing w:line="288" w:lineRule="auto"/>
        <w:ind w:firstLine="567"/>
        <w:jc w:val="both"/>
      </w:pPr>
      <w:r w:rsidRPr="00C95FA4">
        <w:t>d) Quy định về quan hệ giữa nhà trường, gia đình và xã hội</w:t>
      </w:r>
    </w:p>
    <w:p w14:paraId="0AD5B9D0" w14:textId="77777777" w:rsidR="00464C5B" w:rsidRPr="00A168A3" w:rsidRDefault="00464C5B" w:rsidP="00A119A4">
      <w:pPr>
        <w:spacing w:line="288" w:lineRule="auto"/>
        <w:ind w:firstLine="567"/>
        <w:jc w:val="both"/>
        <w:rPr>
          <w:b/>
        </w:rPr>
      </w:pPr>
      <w:r w:rsidRPr="00A168A3">
        <w:rPr>
          <w:b/>
        </w:rPr>
        <w:t>5.</w:t>
      </w:r>
      <w:r>
        <w:rPr>
          <w:b/>
        </w:rPr>
        <w:t xml:space="preserve"> </w:t>
      </w:r>
      <w:r w:rsidRPr="00A168A3">
        <w:rPr>
          <w:b/>
        </w:rPr>
        <w:t xml:space="preserve">Tổ chức thực hiện các quy định về Quy chế tổ chức và hoạt động của trường phổ thông dân tộc </w:t>
      </w:r>
      <w:r>
        <w:rPr>
          <w:b/>
        </w:rPr>
        <w:t xml:space="preserve">nội </w:t>
      </w:r>
      <w:r w:rsidRPr="00A168A3">
        <w:rPr>
          <w:b/>
        </w:rPr>
        <w:t>trú</w:t>
      </w:r>
    </w:p>
    <w:p w14:paraId="44462426" w14:textId="77777777" w:rsidR="00464C5B" w:rsidRDefault="00464C5B" w:rsidP="00A119A4">
      <w:pPr>
        <w:spacing w:line="288" w:lineRule="auto"/>
        <w:ind w:firstLine="567"/>
        <w:jc w:val="both"/>
      </w:pPr>
      <w:r w:rsidRPr="00A168A3">
        <w:t xml:space="preserve"> a) Quy định về tổ chức và quản lý nhà trường </w:t>
      </w:r>
    </w:p>
    <w:p w14:paraId="51E59980" w14:textId="77777777" w:rsidR="00464C5B" w:rsidRDefault="00464C5B" w:rsidP="00A119A4">
      <w:pPr>
        <w:spacing w:line="288" w:lineRule="auto"/>
        <w:ind w:firstLine="567"/>
        <w:jc w:val="both"/>
      </w:pPr>
      <w:r w:rsidRPr="00A168A3">
        <w:t xml:space="preserve">b) Quy định về </w:t>
      </w:r>
      <w:r>
        <w:t xml:space="preserve">tuyển sinh, </w:t>
      </w:r>
      <w:r w:rsidRPr="00A168A3">
        <w:t xml:space="preserve">tổ chức hoạt động giáo dục </w:t>
      </w:r>
      <w:r>
        <w:t>và chăm sóc, nuôi dưỡng, quản lý học sinh</w:t>
      </w:r>
    </w:p>
    <w:p w14:paraId="703E9937" w14:textId="77777777" w:rsidR="00464C5B" w:rsidRDefault="00464C5B" w:rsidP="00A119A4">
      <w:pPr>
        <w:spacing w:line="288" w:lineRule="auto"/>
        <w:ind w:firstLine="567"/>
        <w:jc w:val="both"/>
      </w:pPr>
      <w:r w:rsidRPr="00A168A3">
        <w:t>c) Quy định về nhiệm vụ và quyền của giáo viên, nhân viên và học sinh</w:t>
      </w:r>
    </w:p>
    <w:p w14:paraId="2C88CB64" w14:textId="77777777" w:rsidR="00464C5B" w:rsidRPr="0072458B" w:rsidRDefault="00464C5B" w:rsidP="00A119A4">
      <w:pPr>
        <w:spacing w:line="288" w:lineRule="auto"/>
        <w:ind w:firstLine="567"/>
        <w:jc w:val="both"/>
        <w:rPr>
          <w:b/>
        </w:rPr>
      </w:pPr>
      <w:r w:rsidRPr="0072458B">
        <w:rPr>
          <w:b/>
        </w:rPr>
        <w:t>6. Đánh giá kết quả thực hiện các quy định về đánh giá học sinh trung học cơ sở và học sinh trung học phổ thông</w:t>
      </w:r>
      <w:r>
        <w:rPr>
          <w:b/>
        </w:rPr>
        <w:t>; Điều lệ trường</w:t>
      </w:r>
      <w:r w:rsidRPr="0072458B">
        <w:rPr>
          <w:b/>
        </w:rPr>
        <w:t xml:space="preserve"> </w:t>
      </w:r>
      <w:r w:rsidRPr="00A168A3">
        <w:rPr>
          <w:b/>
        </w:rPr>
        <w:t>trung học cơ sở</w:t>
      </w:r>
      <w:r>
        <w:rPr>
          <w:b/>
        </w:rPr>
        <w:t>, trường</w:t>
      </w:r>
      <w:r w:rsidRPr="00A168A3">
        <w:rPr>
          <w:b/>
        </w:rPr>
        <w:t xml:space="preserve"> trung học phổ thông</w:t>
      </w:r>
      <w:r>
        <w:rPr>
          <w:b/>
        </w:rPr>
        <w:t xml:space="preserve"> và trường phổ thông có nhiều cấp học; Q</w:t>
      </w:r>
      <w:r w:rsidRPr="0072458B">
        <w:rPr>
          <w:b/>
        </w:rPr>
        <w:t>uy chế tổ chức và hoạt động của trường phổ thông dân tộc bán trú</w:t>
      </w:r>
      <w:r>
        <w:rPr>
          <w:b/>
        </w:rPr>
        <w:t>;</w:t>
      </w:r>
      <w:r w:rsidRPr="003A1956">
        <w:rPr>
          <w:b/>
        </w:rPr>
        <w:t xml:space="preserve"> </w:t>
      </w:r>
      <w:r>
        <w:rPr>
          <w:b/>
        </w:rPr>
        <w:t>Q</w:t>
      </w:r>
      <w:r w:rsidRPr="0072458B">
        <w:rPr>
          <w:b/>
        </w:rPr>
        <w:t xml:space="preserve">uy chế tổ chức và hoạt động của trường phổ thông dân tộc </w:t>
      </w:r>
      <w:r>
        <w:rPr>
          <w:b/>
        </w:rPr>
        <w:t>nội</w:t>
      </w:r>
      <w:r w:rsidRPr="0072458B">
        <w:rPr>
          <w:b/>
        </w:rPr>
        <w:t xml:space="preserve"> trú</w:t>
      </w:r>
    </w:p>
    <w:p w14:paraId="16EF9146" w14:textId="77777777" w:rsidR="00464C5B" w:rsidRDefault="00464C5B" w:rsidP="00A119A4">
      <w:pPr>
        <w:spacing w:line="288" w:lineRule="auto"/>
        <w:ind w:firstLine="567"/>
        <w:jc w:val="both"/>
      </w:pPr>
      <w:r w:rsidRPr="00C95FA4">
        <w:t>a) Đánh giá chung</w:t>
      </w:r>
    </w:p>
    <w:p w14:paraId="7FA4EB04" w14:textId="77777777" w:rsidR="00464C5B" w:rsidRDefault="00464C5B" w:rsidP="00A119A4">
      <w:pPr>
        <w:spacing w:line="288" w:lineRule="auto"/>
        <w:ind w:firstLine="567"/>
        <w:jc w:val="both"/>
      </w:pPr>
      <w:r>
        <w:t>- Thuận lợi</w:t>
      </w:r>
      <w:r w:rsidRPr="00C95FA4">
        <w:t xml:space="preserve"> và tác động tích cực</w:t>
      </w:r>
    </w:p>
    <w:p w14:paraId="74D8E851" w14:textId="77777777" w:rsidR="00464C5B" w:rsidRDefault="00464C5B" w:rsidP="00A119A4">
      <w:pPr>
        <w:spacing w:line="288" w:lineRule="auto"/>
        <w:ind w:firstLine="567"/>
        <w:jc w:val="both"/>
      </w:pPr>
      <w:r>
        <w:t>-</w:t>
      </w:r>
      <w:r w:rsidRPr="00C95FA4">
        <w:t xml:space="preserve"> </w:t>
      </w:r>
      <w:r>
        <w:t>T</w:t>
      </w:r>
      <w:r w:rsidRPr="00C95FA4">
        <w:t>ồn tại, hạn chế</w:t>
      </w:r>
    </w:p>
    <w:p w14:paraId="405572F9" w14:textId="77777777" w:rsidR="00464C5B" w:rsidRDefault="00464C5B" w:rsidP="00A119A4">
      <w:pPr>
        <w:spacing w:line="288" w:lineRule="auto"/>
        <w:ind w:firstLine="567"/>
        <w:jc w:val="both"/>
      </w:pPr>
      <w:r>
        <w:t>-</w:t>
      </w:r>
      <w:r w:rsidRPr="00C95FA4">
        <w:t xml:space="preserve"> </w:t>
      </w:r>
      <w:r>
        <w:t>N</w:t>
      </w:r>
      <w:r w:rsidRPr="00C95FA4">
        <w:t xml:space="preserve">guyên nhân </w:t>
      </w:r>
      <w:r>
        <w:t>(khách quan, chủ quan)</w:t>
      </w:r>
    </w:p>
    <w:p w14:paraId="29288490" w14:textId="77777777" w:rsidR="00464C5B" w:rsidRPr="00C95FA4" w:rsidRDefault="00464C5B" w:rsidP="00A119A4">
      <w:pPr>
        <w:spacing w:line="288" w:lineRule="auto"/>
        <w:ind w:firstLine="567"/>
        <w:jc w:val="both"/>
      </w:pPr>
      <w:r w:rsidRPr="00C95FA4">
        <w:t>b) Đánh giá c</w:t>
      </w:r>
      <w:r>
        <w:t xml:space="preserve">ụ </w:t>
      </w:r>
      <w:r w:rsidRPr="00C95FA4">
        <w:t xml:space="preserve">thể theo các quy định tại </w:t>
      </w:r>
      <w:r>
        <w:t>mục 2, 3, 4 và 5 được nêu trên.</w:t>
      </w:r>
    </w:p>
    <w:p w14:paraId="12725471" w14:textId="77777777" w:rsidR="00464C5B" w:rsidRPr="00A168A3" w:rsidRDefault="00464C5B" w:rsidP="00146AF1">
      <w:pPr>
        <w:spacing w:line="288" w:lineRule="auto"/>
        <w:ind w:firstLine="562"/>
        <w:jc w:val="both"/>
        <w:rPr>
          <w:b/>
        </w:rPr>
      </w:pPr>
      <w:r w:rsidRPr="00A168A3">
        <w:rPr>
          <w:b/>
        </w:rPr>
        <w:t>II. ĐỀ XUẤT SỬA ĐỔI, BỔ SUNG</w:t>
      </w:r>
    </w:p>
    <w:p w14:paraId="471E3B82" w14:textId="77777777" w:rsidR="00464C5B" w:rsidRDefault="00464C5B" w:rsidP="00146AF1">
      <w:pPr>
        <w:ind w:firstLine="562"/>
        <w:jc w:val="both"/>
        <w:rPr>
          <w:b/>
        </w:rPr>
      </w:pPr>
      <w:r w:rsidRPr="00A168A3">
        <w:rPr>
          <w:b/>
        </w:rPr>
        <w:t xml:space="preserve">1. Đổi mới </w:t>
      </w:r>
      <w:r>
        <w:rPr>
          <w:b/>
        </w:rPr>
        <w:t>các</w:t>
      </w:r>
      <w:r w:rsidRPr="00A168A3">
        <w:rPr>
          <w:b/>
        </w:rPr>
        <w:t xml:space="preserve"> quy định về đánh giá học sinh trung học cơ sở và học sinh trung học phổ thông</w:t>
      </w:r>
    </w:p>
    <w:p w14:paraId="6DDDB680" w14:textId="77777777" w:rsidR="00464C5B" w:rsidRDefault="00464C5B" w:rsidP="00146AF1">
      <w:pPr>
        <w:ind w:firstLine="567"/>
        <w:jc w:val="both"/>
      </w:pPr>
      <w:r>
        <w:t xml:space="preserve">Từ những vấn đề </w:t>
      </w:r>
      <w:r w:rsidRPr="00C95FA4">
        <w:t>còn</w:t>
      </w:r>
      <w:r>
        <w:t xml:space="preserve"> hạn chế,</w:t>
      </w:r>
      <w:r w:rsidRPr="00C95FA4">
        <w:t xml:space="preserve"> tồn tại được chỉ ra tại phần I, đề xuất </w:t>
      </w:r>
      <w:r>
        <w:t xml:space="preserve">cụ thể việc </w:t>
      </w:r>
      <w:r w:rsidRPr="00C95FA4">
        <w:t xml:space="preserve">sửa đổi, bổ sung </w:t>
      </w:r>
      <w:r>
        <w:t xml:space="preserve">đối </w:t>
      </w:r>
      <w:r w:rsidRPr="00C95FA4">
        <w:t xml:space="preserve">với </w:t>
      </w:r>
      <w:r>
        <w:t xml:space="preserve">từng </w:t>
      </w:r>
      <w:r w:rsidRPr="00C95FA4">
        <w:t>nội dung quy định tại Thông tư số 22/2021/TT-BGD</w:t>
      </w:r>
      <w:r>
        <w:t>Đ</w:t>
      </w:r>
      <w:r w:rsidRPr="00C95FA4">
        <w:t xml:space="preserve">T ngày 20/7/2021 </w:t>
      </w:r>
      <w:r>
        <w:t xml:space="preserve">quy định </w:t>
      </w:r>
      <w:r w:rsidRPr="00C95FA4">
        <w:t>về đánh giá học sinh trung học cơ sở và học sinh trung học phổ thông theo bảng dưới đây:</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1626"/>
        <w:gridCol w:w="1980"/>
        <w:gridCol w:w="1440"/>
        <w:gridCol w:w="1980"/>
        <w:gridCol w:w="1170"/>
        <w:gridCol w:w="720"/>
      </w:tblGrid>
      <w:tr w:rsidR="00464C5B" w:rsidRPr="00FD0F55" w14:paraId="78E55DCC" w14:textId="77777777" w:rsidTr="004C5A13">
        <w:tc>
          <w:tcPr>
            <w:tcW w:w="642" w:type="dxa"/>
            <w:shd w:val="clear" w:color="auto" w:fill="auto"/>
          </w:tcPr>
          <w:p w14:paraId="6DAF4941" w14:textId="77777777" w:rsidR="00464C5B" w:rsidRPr="00FD0F55" w:rsidRDefault="00464C5B" w:rsidP="004C5A13">
            <w:pPr>
              <w:spacing w:before="120" w:after="120"/>
              <w:jc w:val="center"/>
              <w:rPr>
                <w:b/>
              </w:rPr>
            </w:pPr>
            <w:r w:rsidRPr="00FD0F55">
              <w:rPr>
                <w:b/>
              </w:rPr>
              <w:t>TT</w:t>
            </w:r>
          </w:p>
        </w:tc>
        <w:tc>
          <w:tcPr>
            <w:tcW w:w="1626" w:type="dxa"/>
            <w:shd w:val="clear" w:color="auto" w:fill="auto"/>
          </w:tcPr>
          <w:p w14:paraId="789A2D15" w14:textId="77777777" w:rsidR="00464C5B" w:rsidRPr="00FD0F55" w:rsidRDefault="00464C5B" w:rsidP="00146AF1">
            <w:pPr>
              <w:spacing w:before="120" w:after="120"/>
              <w:ind w:left="-102" w:hanging="102"/>
              <w:jc w:val="center"/>
              <w:rPr>
                <w:b/>
              </w:rPr>
            </w:pPr>
            <w:r w:rsidRPr="00FD0F55">
              <w:rPr>
                <w:b/>
              </w:rPr>
              <w:t xml:space="preserve">Nội dung tại Thông tư số 22/2021/TT-BGDĐT </w:t>
            </w:r>
            <w:r w:rsidRPr="00FD0F55">
              <w:rPr>
                <w:i/>
              </w:rPr>
              <w:lastRenderedPageBreak/>
              <w:t>(nêu rõ điều, khoản, điểm hoặc các đề mục tại các Phụ lục)</w:t>
            </w:r>
          </w:p>
          <w:p w14:paraId="4DC0832D" w14:textId="77777777" w:rsidR="00464C5B" w:rsidRPr="00FD0F55" w:rsidRDefault="00464C5B" w:rsidP="004C5A13">
            <w:pPr>
              <w:spacing w:before="120" w:after="120"/>
              <w:jc w:val="center"/>
              <w:rPr>
                <w:b/>
              </w:rPr>
            </w:pPr>
          </w:p>
        </w:tc>
        <w:tc>
          <w:tcPr>
            <w:tcW w:w="1980" w:type="dxa"/>
            <w:shd w:val="clear" w:color="auto" w:fill="auto"/>
          </w:tcPr>
          <w:p w14:paraId="6D753B9F" w14:textId="77777777" w:rsidR="00464C5B" w:rsidRPr="00FD0F55" w:rsidRDefault="00464C5B" w:rsidP="004C5A13">
            <w:pPr>
              <w:spacing w:before="120" w:after="120"/>
              <w:ind w:left="-102" w:right="-108" w:firstLine="102"/>
              <w:jc w:val="center"/>
              <w:rPr>
                <w:b/>
              </w:rPr>
            </w:pPr>
            <w:r w:rsidRPr="00FD0F55">
              <w:rPr>
                <w:b/>
              </w:rPr>
              <w:lastRenderedPageBreak/>
              <w:t xml:space="preserve">Nội dung quy định của văn bản liên quan là căn cứ để rà </w:t>
            </w:r>
            <w:r w:rsidRPr="00FD0F55">
              <w:rPr>
                <w:b/>
              </w:rPr>
              <w:lastRenderedPageBreak/>
              <w:t xml:space="preserve">soát, đối chiếu </w:t>
            </w:r>
            <w:r w:rsidRPr="00FD0F55">
              <w:rPr>
                <w:i/>
              </w:rPr>
              <w:t>(Nêu nội dung quy định cụ thể của văn bản quy phạm pháp luật liên quan là căn cứ đối chiếu để các xác định các quy định mâu thuẫn chồng chéo)</w:t>
            </w:r>
          </w:p>
        </w:tc>
        <w:tc>
          <w:tcPr>
            <w:tcW w:w="1440" w:type="dxa"/>
            <w:shd w:val="clear" w:color="auto" w:fill="auto"/>
          </w:tcPr>
          <w:p w14:paraId="457D40A4" w14:textId="77777777" w:rsidR="00464C5B" w:rsidRPr="00FD0F55" w:rsidRDefault="00464C5B" w:rsidP="004C5A13">
            <w:pPr>
              <w:spacing w:before="120" w:after="120"/>
              <w:ind w:hanging="108"/>
              <w:jc w:val="center"/>
              <w:rPr>
                <w:b/>
              </w:rPr>
            </w:pPr>
            <w:r w:rsidRPr="00FD0F55">
              <w:rPr>
                <w:b/>
              </w:rPr>
              <w:lastRenderedPageBreak/>
              <w:t xml:space="preserve">Phân tích quy định mâu thuẫn, </w:t>
            </w:r>
            <w:r w:rsidRPr="00FD0F55">
              <w:rPr>
                <w:b/>
              </w:rPr>
              <w:lastRenderedPageBreak/>
              <w:t>chồng chéo, bất cập hoặc không còn phù hợp với thực t</w:t>
            </w:r>
            <w:r>
              <w:rPr>
                <w:b/>
              </w:rPr>
              <w:t>iễn</w:t>
            </w:r>
          </w:p>
          <w:p w14:paraId="7125B369" w14:textId="77777777" w:rsidR="00464C5B" w:rsidRPr="00FD0F55" w:rsidRDefault="00464C5B" w:rsidP="004C5A13">
            <w:pPr>
              <w:spacing w:before="120" w:after="120"/>
              <w:jc w:val="center"/>
              <w:rPr>
                <w:b/>
              </w:rPr>
            </w:pPr>
          </w:p>
        </w:tc>
        <w:tc>
          <w:tcPr>
            <w:tcW w:w="1980" w:type="dxa"/>
            <w:shd w:val="clear" w:color="auto" w:fill="auto"/>
          </w:tcPr>
          <w:p w14:paraId="4E60A932" w14:textId="77777777" w:rsidR="00464C5B" w:rsidRPr="00FD0F55" w:rsidRDefault="00464C5B" w:rsidP="004C5A13">
            <w:pPr>
              <w:spacing w:before="120" w:after="120"/>
              <w:jc w:val="center"/>
              <w:rPr>
                <w:b/>
              </w:rPr>
            </w:pPr>
            <w:r w:rsidRPr="00FD0F55">
              <w:rPr>
                <w:b/>
              </w:rPr>
              <w:lastRenderedPageBreak/>
              <w:t>Phương án xử lý</w:t>
            </w:r>
            <w:r w:rsidRPr="00FD0F55">
              <w:rPr>
                <w:b/>
                <w:i/>
              </w:rPr>
              <w:t xml:space="preserve"> </w:t>
            </w:r>
            <w:r w:rsidRPr="00FD0F55">
              <w:rPr>
                <w:i/>
              </w:rPr>
              <w:t xml:space="preserve">(xác định rõ hình thức xử lý văn bản cụ thể </w:t>
            </w:r>
            <w:r w:rsidRPr="00FD0F55">
              <w:rPr>
                <w:i/>
              </w:rPr>
              <w:lastRenderedPageBreak/>
              <w:t>bao gồm: đình chỉ thi hành, sửa đổi, bổ sung, thay thế, bãi bỏ, ban hành mới)</w:t>
            </w:r>
          </w:p>
        </w:tc>
        <w:tc>
          <w:tcPr>
            <w:tcW w:w="1170" w:type="dxa"/>
            <w:shd w:val="clear" w:color="auto" w:fill="auto"/>
          </w:tcPr>
          <w:p w14:paraId="6D47CC49" w14:textId="77777777" w:rsidR="00464C5B" w:rsidRPr="00FD0F55" w:rsidRDefault="00464C5B" w:rsidP="004C5A13">
            <w:pPr>
              <w:spacing w:before="120" w:after="120"/>
              <w:ind w:hanging="108"/>
              <w:jc w:val="center"/>
              <w:rPr>
                <w:b/>
              </w:rPr>
            </w:pPr>
            <w:r w:rsidRPr="00FD0F55">
              <w:rPr>
                <w:b/>
              </w:rPr>
              <w:lastRenderedPageBreak/>
              <w:t xml:space="preserve">Đề xuất </w:t>
            </w:r>
            <w:r>
              <w:rPr>
                <w:b/>
              </w:rPr>
              <w:t>nội dung</w:t>
            </w:r>
            <w:r w:rsidRPr="00FD0F55">
              <w:rPr>
                <w:b/>
              </w:rPr>
              <w:t xml:space="preserve"> </w:t>
            </w:r>
            <w:r w:rsidRPr="00FD0F55">
              <w:rPr>
                <w:b/>
              </w:rPr>
              <w:lastRenderedPageBreak/>
              <w:t>sửa đổi, bổ sung</w:t>
            </w:r>
          </w:p>
          <w:p w14:paraId="767506A6" w14:textId="77777777" w:rsidR="00464C5B" w:rsidRPr="00FD0F55" w:rsidRDefault="00464C5B" w:rsidP="004C5A13">
            <w:pPr>
              <w:spacing w:before="120" w:after="120"/>
              <w:jc w:val="center"/>
              <w:rPr>
                <w:b/>
              </w:rPr>
            </w:pPr>
          </w:p>
        </w:tc>
        <w:tc>
          <w:tcPr>
            <w:tcW w:w="720" w:type="dxa"/>
            <w:shd w:val="clear" w:color="auto" w:fill="auto"/>
          </w:tcPr>
          <w:p w14:paraId="028D1182" w14:textId="77777777" w:rsidR="00464C5B" w:rsidRPr="00FD0F55" w:rsidRDefault="00464C5B" w:rsidP="004C5A13">
            <w:pPr>
              <w:spacing w:before="120" w:after="120"/>
              <w:jc w:val="center"/>
              <w:rPr>
                <w:b/>
              </w:rPr>
            </w:pPr>
            <w:r w:rsidRPr="00FD0F55">
              <w:rPr>
                <w:b/>
              </w:rPr>
              <w:lastRenderedPageBreak/>
              <w:t>Ghi chú</w:t>
            </w:r>
          </w:p>
        </w:tc>
      </w:tr>
      <w:tr w:rsidR="00464C5B" w:rsidRPr="00FD0F55" w14:paraId="685DA28A" w14:textId="77777777" w:rsidTr="004C5A13">
        <w:tc>
          <w:tcPr>
            <w:tcW w:w="642" w:type="dxa"/>
            <w:shd w:val="clear" w:color="auto" w:fill="auto"/>
          </w:tcPr>
          <w:p w14:paraId="124C5672" w14:textId="77777777" w:rsidR="00464C5B" w:rsidRPr="00FD0F55" w:rsidRDefault="00464C5B" w:rsidP="004C5A13">
            <w:pPr>
              <w:spacing w:before="120" w:after="120"/>
              <w:jc w:val="both"/>
            </w:pPr>
            <w:r w:rsidRPr="00FD0F55">
              <w:t>1</w:t>
            </w:r>
          </w:p>
        </w:tc>
        <w:tc>
          <w:tcPr>
            <w:tcW w:w="1626" w:type="dxa"/>
            <w:shd w:val="clear" w:color="auto" w:fill="auto"/>
          </w:tcPr>
          <w:p w14:paraId="159D1D39" w14:textId="77777777" w:rsidR="00464C5B" w:rsidRPr="00FD0F55" w:rsidRDefault="00464C5B" w:rsidP="004C5A13">
            <w:pPr>
              <w:spacing w:before="120" w:after="120"/>
              <w:jc w:val="both"/>
            </w:pPr>
          </w:p>
        </w:tc>
        <w:tc>
          <w:tcPr>
            <w:tcW w:w="1980" w:type="dxa"/>
            <w:shd w:val="clear" w:color="auto" w:fill="auto"/>
          </w:tcPr>
          <w:p w14:paraId="4776C3F6" w14:textId="77777777" w:rsidR="00464C5B" w:rsidRPr="00FD0F55" w:rsidRDefault="00464C5B" w:rsidP="004C5A13">
            <w:pPr>
              <w:spacing w:before="120" w:after="120"/>
              <w:jc w:val="both"/>
            </w:pPr>
          </w:p>
        </w:tc>
        <w:tc>
          <w:tcPr>
            <w:tcW w:w="1440" w:type="dxa"/>
            <w:shd w:val="clear" w:color="auto" w:fill="auto"/>
          </w:tcPr>
          <w:p w14:paraId="32488D4F" w14:textId="77777777" w:rsidR="00464C5B" w:rsidRPr="00FD0F55" w:rsidRDefault="00464C5B" w:rsidP="004C5A13">
            <w:pPr>
              <w:spacing w:before="120" w:after="120"/>
              <w:jc w:val="both"/>
            </w:pPr>
          </w:p>
        </w:tc>
        <w:tc>
          <w:tcPr>
            <w:tcW w:w="1980" w:type="dxa"/>
            <w:shd w:val="clear" w:color="auto" w:fill="auto"/>
          </w:tcPr>
          <w:p w14:paraId="2461DA7B" w14:textId="77777777" w:rsidR="00464C5B" w:rsidRPr="00FD0F55" w:rsidRDefault="00464C5B" w:rsidP="004C5A13">
            <w:pPr>
              <w:spacing w:before="120" w:after="120"/>
              <w:jc w:val="both"/>
            </w:pPr>
          </w:p>
        </w:tc>
        <w:tc>
          <w:tcPr>
            <w:tcW w:w="1170" w:type="dxa"/>
            <w:shd w:val="clear" w:color="auto" w:fill="auto"/>
          </w:tcPr>
          <w:p w14:paraId="59075ECC" w14:textId="77777777" w:rsidR="00464C5B" w:rsidRPr="00FD0F55" w:rsidRDefault="00464C5B" w:rsidP="004C5A13">
            <w:pPr>
              <w:spacing w:before="120" w:after="120"/>
              <w:jc w:val="both"/>
            </w:pPr>
          </w:p>
        </w:tc>
        <w:tc>
          <w:tcPr>
            <w:tcW w:w="720" w:type="dxa"/>
            <w:shd w:val="clear" w:color="auto" w:fill="auto"/>
          </w:tcPr>
          <w:p w14:paraId="0ACCA835" w14:textId="77777777" w:rsidR="00464C5B" w:rsidRPr="00FD0F55" w:rsidRDefault="00464C5B" w:rsidP="004C5A13">
            <w:pPr>
              <w:spacing w:before="120" w:after="120"/>
              <w:jc w:val="both"/>
            </w:pPr>
          </w:p>
        </w:tc>
      </w:tr>
      <w:tr w:rsidR="00464C5B" w:rsidRPr="00FD0F55" w14:paraId="1207C653" w14:textId="77777777" w:rsidTr="004C5A13">
        <w:tc>
          <w:tcPr>
            <w:tcW w:w="642" w:type="dxa"/>
            <w:shd w:val="clear" w:color="auto" w:fill="auto"/>
          </w:tcPr>
          <w:p w14:paraId="6B316531" w14:textId="77777777" w:rsidR="00464C5B" w:rsidRPr="00FD0F55" w:rsidRDefault="00464C5B" w:rsidP="004C5A13">
            <w:pPr>
              <w:spacing w:before="120" w:after="120"/>
              <w:jc w:val="both"/>
            </w:pPr>
            <w:r w:rsidRPr="00FD0F55">
              <w:t>2</w:t>
            </w:r>
          </w:p>
        </w:tc>
        <w:tc>
          <w:tcPr>
            <w:tcW w:w="1626" w:type="dxa"/>
            <w:shd w:val="clear" w:color="auto" w:fill="auto"/>
          </w:tcPr>
          <w:p w14:paraId="6103F991" w14:textId="77777777" w:rsidR="00464C5B" w:rsidRPr="00FD0F55" w:rsidRDefault="00464C5B" w:rsidP="004C5A13">
            <w:pPr>
              <w:spacing w:before="120" w:after="120"/>
              <w:jc w:val="both"/>
            </w:pPr>
          </w:p>
        </w:tc>
        <w:tc>
          <w:tcPr>
            <w:tcW w:w="1980" w:type="dxa"/>
            <w:shd w:val="clear" w:color="auto" w:fill="auto"/>
          </w:tcPr>
          <w:p w14:paraId="708A17C0" w14:textId="77777777" w:rsidR="00464C5B" w:rsidRPr="00FD0F55" w:rsidRDefault="00464C5B" w:rsidP="004C5A13">
            <w:pPr>
              <w:spacing w:before="120" w:after="120"/>
              <w:jc w:val="both"/>
            </w:pPr>
          </w:p>
        </w:tc>
        <w:tc>
          <w:tcPr>
            <w:tcW w:w="1440" w:type="dxa"/>
            <w:shd w:val="clear" w:color="auto" w:fill="auto"/>
          </w:tcPr>
          <w:p w14:paraId="7CBE060D" w14:textId="77777777" w:rsidR="00464C5B" w:rsidRPr="00FD0F55" w:rsidRDefault="00464C5B" w:rsidP="004C5A13">
            <w:pPr>
              <w:spacing w:before="120" w:after="120"/>
              <w:jc w:val="both"/>
            </w:pPr>
          </w:p>
        </w:tc>
        <w:tc>
          <w:tcPr>
            <w:tcW w:w="1980" w:type="dxa"/>
            <w:shd w:val="clear" w:color="auto" w:fill="auto"/>
          </w:tcPr>
          <w:p w14:paraId="20FB10BE" w14:textId="77777777" w:rsidR="00464C5B" w:rsidRPr="00FD0F55" w:rsidRDefault="00464C5B" w:rsidP="004C5A13">
            <w:pPr>
              <w:spacing w:before="120" w:after="120"/>
              <w:jc w:val="both"/>
            </w:pPr>
          </w:p>
        </w:tc>
        <w:tc>
          <w:tcPr>
            <w:tcW w:w="1170" w:type="dxa"/>
            <w:shd w:val="clear" w:color="auto" w:fill="auto"/>
          </w:tcPr>
          <w:p w14:paraId="5ABE11C7" w14:textId="77777777" w:rsidR="00464C5B" w:rsidRPr="00FD0F55" w:rsidRDefault="00464C5B" w:rsidP="004C5A13">
            <w:pPr>
              <w:spacing w:before="120" w:after="120"/>
              <w:jc w:val="both"/>
            </w:pPr>
          </w:p>
        </w:tc>
        <w:tc>
          <w:tcPr>
            <w:tcW w:w="720" w:type="dxa"/>
            <w:shd w:val="clear" w:color="auto" w:fill="auto"/>
          </w:tcPr>
          <w:p w14:paraId="48BCE771" w14:textId="77777777" w:rsidR="00464C5B" w:rsidRPr="00FD0F55" w:rsidRDefault="00464C5B" w:rsidP="004C5A13">
            <w:pPr>
              <w:spacing w:before="120" w:after="120"/>
              <w:jc w:val="both"/>
            </w:pPr>
          </w:p>
        </w:tc>
      </w:tr>
    </w:tbl>
    <w:p w14:paraId="4F5023AF" w14:textId="77777777" w:rsidR="00464C5B" w:rsidRDefault="00464C5B" w:rsidP="00146AF1">
      <w:pPr>
        <w:ind w:firstLine="567"/>
        <w:jc w:val="both"/>
      </w:pPr>
    </w:p>
    <w:p w14:paraId="5075DFFE" w14:textId="77777777" w:rsidR="00464C5B" w:rsidRPr="007C4A0A" w:rsidRDefault="00464C5B" w:rsidP="00C95FA4">
      <w:pPr>
        <w:spacing w:before="120" w:after="120"/>
        <w:ind w:firstLine="567"/>
        <w:jc w:val="both"/>
        <w:rPr>
          <w:b/>
        </w:rPr>
      </w:pPr>
      <w:r w:rsidRPr="007C4A0A">
        <w:rPr>
          <w:b/>
        </w:rPr>
        <w:t xml:space="preserve">2. Đối với các quy định và </w:t>
      </w:r>
      <w:r>
        <w:rPr>
          <w:b/>
        </w:rPr>
        <w:t>Đ</w:t>
      </w:r>
      <w:r w:rsidRPr="007C4A0A">
        <w:rPr>
          <w:b/>
        </w:rPr>
        <w:t>iều lệ trường trung học cơ sở</w:t>
      </w:r>
      <w:r>
        <w:rPr>
          <w:b/>
        </w:rPr>
        <w:t>,</w:t>
      </w:r>
      <w:r w:rsidRPr="007C4A0A">
        <w:rPr>
          <w:b/>
        </w:rPr>
        <w:t xml:space="preserve"> trường trung học phổ thông và trường phổ thông có nhiều cấp học</w:t>
      </w:r>
    </w:p>
    <w:p w14:paraId="551EF0EF" w14:textId="77777777" w:rsidR="00464C5B" w:rsidRDefault="00464C5B" w:rsidP="00C95FA4">
      <w:pPr>
        <w:spacing w:before="120" w:after="120"/>
        <w:ind w:firstLine="567"/>
        <w:jc w:val="both"/>
      </w:pPr>
      <w:r w:rsidRPr="00F9072C">
        <w:t xml:space="preserve"> </w:t>
      </w:r>
      <w:r>
        <w:t>T</w:t>
      </w:r>
      <w:r w:rsidRPr="00F9072C">
        <w:t>ừ những vấn đề còn hạn chế</w:t>
      </w:r>
      <w:r>
        <w:t>,</w:t>
      </w:r>
      <w:r w:rsidRPr="00F9072C">
        <w:t xml:space="preserve"> tồn tại được chỉ ra tại phần </w:t>
      </w:r>
      <w:r>
        <w:t xml:space="preserve">I, </w:t>
      </w:r>
      <w:r w:rsidRPr="00F9072C">
        <w:t>đề xuất cụ thể việc sửa đổi</w:t>
      </w:r>
      <w:r>
        <w:t>,</w:t>
      </w:r>
      <w:r w:rsidRPr="00F9072C">
        <w:t xml:space="preserve"> bổ sung đối </w:t>
      </w:r>
      <w:r>
        <w:t>với từng nội dung quy định tại T</w:t>
      </w:r>
      <w:r w:rsidRPr="00F9072C">
        <w:t>hông</w:t>
      </w:r>
      <w:r>
        <w:t xml:space="preserve"> t</w:t>
      </w:r>
      <w:r w:rsidRPr="00F9072C">
        <w:t xml:space="preserve">ư số </w:t>
      </w:r>
      <w:r w:rsidRPr="00C95FA4">
        <w:t xml:space="preserve">32/2020/TT-BGDDT ngày 15/9/2020 </w:t>
      </w:r>
      <w:r w:rsidRPr="00F9072C">
        <w:t xml:space="preserve">ban hành </w:t>
      </w:r>
      <w:r>
        <w:t>Đ</w:t>
      </w:r>
      <w:r w:rsidRPr="00F9072C">
        <w:t>iều lệ trường trung học cơ sở</w:t>
      </w:r>
      <w:r>
        <w:t>,</w:t>
      </w:r>
      <w:r w:rsidRPr="00F9072C">
        <w:t xml:space="preserve"> trường trung học phổ thông </w:t>
      </w:r>
      <w:r>
        <w:t xml:space="preserve">và </w:t>
      </w:r>
      <w:r w:rsidRPr="00F9072C">
        <w:t xml:space="preserve">trường phổ thông </w:t>
      </w:r>
      <w:r>
        <w:t xml:space="preserve">có </w:t>
      </w:r>
      <w:r w:rsidRPr="00F9072C">
        <w:t>nhiều cấp học theo bảng dưới đây</w:t>
      </w:r>
      <w:r>
        <w: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679"/>
        <w:gridCol w:w="1958"/>
        <w:gridCol w:w="1432"/>
        <w:gridCol w:w="1965"/>
        <w:gridCol w:w="1164"/>
        <w:gridCol w:w="719"/>
      </w:tblGrid>
      <w:tr w:rsidR="00464C5B" w:rsidRPr="00FD0F55" w14:paraId="61180FA6" w14:textId="77777777" w:rsidTr="00FD0F55">
        <w:tc>
          <w:tcPr>
            <w:tcW w:w="642" w:type="dxa"/>
            <w:shd w:val="clear" w:color="auto" w:fill="auto"/>
          </w:tcPr>
          <w:p w14:paraId="1F0DDC9D" w14:textId="77777777" w:rsidR="00464C5B" w:rsidRPr="00FD0F55" w:rsidRDefault="00464C5B" w:rsidP="00FD0F55">
            <w:pPr>
              <w:spacing w:before="120" w:after="120"/>
              <w:jc w:val="center"/>
              <w:rPr>
                <w:b/>
              </w:rPr>
            </w:pPr>
            <w:r w:rsidRPr="00FD0F55">
              <w:rPr>
                <w:b/>
              </w:rPr>
              <w:t>TT</w:t>
            </w:r>
          </w:p>
        </w:tc>
        <w:tc>
          <w:tcPr>
            <w:tcW w:w="1626" w:type="dxa"/>
            <w:shd w:val="clear" w:color="auto" w:fill="auto"/>
          </w:tcPr>
          <w:p w14:paraId="71D53A11" w14:textId="77777777" w:rsidR="00464C5B" w:rsidRPr="00FD0F55" w:rsidRDefault="00464C5B" w:rsidP="00FD0F55">
            <w:pPr>
              <w:spacing w:before="120" w:after="120"/>
              <w:ind w:hanging="102"/>
              <w:jc w:val="center"/>
              <w:rPr>
                <w:b/>
              </w:rPr>
            </w:pPr>
            <w:r w:rsidRPr="00FD0F55">
              <w:rPr>
                <w:b/>
              </w:rPr>
              <w:t xml:space="preserve">Nội dung tại Thông tư số 32/2020/TT-BGDĐT </w:t>
            </w:r>
            <w:r w:rsidRPr="00FD0F55">
              <w:rPr>
                <w:i/>
              </w:rPr>
              <w:t>(nêu rõ điều, khoản, điểm hoặc các đề mục tại các Phụ lục)</w:t>
            </w:r>
          </w:p>
          <w:p w14:paraId="1C217F83" w14:textId="77777777" w:rsidR="00464C5B" w:rsidRPr="00FD0F55" w:rsidRDefault="00464C5B" w:rsidP="00FD0F55">
            <w:pPr>
              <w:spacing w:before="120" w:after="120"/>
              <w:jc w:val="center"/>
              <w:rPr>
                <w:b/>
              </w:rPr>
            </w:pPr>
          </w:p>
        </w:tc>
        <w:tc>
          <w:tcPr>
            <w:tcW w:w="1980" w:type="dxa"/>
            <w:shd w:val="clear" w:color="auto" w:fill="auto"/>
          </w:tcPr>
          <w:p w14:paraId="4C257644" w14:textId="77777777" w:rsidR="00464C5B" w:rsidRPr="00FD0F55" w:rsidRDefault="00464C5B" w:rsidP="00FD0F55">
            <w:pPr>
              <w:spacing w:before="120" w:after="120"/>
              <w:ind w:left="-102" w:right="-108" w:firstLine="102"/>
              <w:jc w:val="center"/>
              <w:rPr>
                <w:b/>
              </w:rPr>
            </w:pPr>
            <w:r w:rsidRPr="00FD0F55">
              <w:rPr>
                <w:b/>
              </w:rPr>
              <w:t xml:space="preserve">Nội dung quy định của văn bản liên quan là căn cứ để rà soát, đối chiếu </w:t>
            </w:r>
            <w:r w:rsidRPr="00FD0F55">
              <w:rPr>
                <w:i/>
              </w:rPr>
              <w:t>(Nêu nội dung quy định cụ thể của văn bản quy phạm pháp luật liên quan là căn cứ đối chiếu để các xác định các quy định mâu thuẫn chồng chéo)</w:t>
            </w:r>
          </w:p>
        </w:tc>
        <w:tc>
          <w:tcPr>
            <w:tcW w:w="1440" w:type="dxa"/>
            <w:shd w:val="clear" w:color="auto" w:fill="auto"/>
          </w:tcPr>
          <w:p w14:paraId="5436F8F3" w14:textId="77777777" w:rsidR="00464C5B" w:rsidRPr="00FD0F55" w:rsidRDefault="00464C5B" w:rsidP="00FD0F55">
            <w:pPr>
              <w:spacing w:before="120" w:after="120"/>
              <w:ind w:hanging="108"/>
              <w:jc w:val="center"/>
              <w:rPr>
                <w:b/>
              </w:rPr>
            </w:pPr>
            <w:r w:rsidRPr="00FD0F55">
              <w:rPr>
                <w:b/>
              </w:rPr>
              <w:t>Phân tích quy định mâu thuẫn, chồng chéo, bất cập hoặc không còn phù hợp với thực t</w:t>
            </w:r>
            <w:r>
              <w:rPr>
                <w:b/>
              </w:rPr>
              <w:t>iễn</w:t>
            </w:r>
          </w:p>
          <w:p w14:paraId="5BF971D8" w14:textId="77777777" w:rsidR="00464C5B" w:rsidRPr="00FD0F55" w:rsidRDefault="00464C5B" w:rsidP="00FD0F55">
            <w:pPr>
              <w:spacing w:before="120" w:after="120"/>
              <w:jc w:val="center"/>
              <w:rPr>
                <w:b/>
              </w:rPr>
            </w:pPr>
          </w:p>
        </w:tc>
        <w:tc>
          <w:tcPr>
            <w:tcW w:w="1980" w:type="dxa"/>
            <w:shd w:val="clear" w:color="auto" w:fill="auto"/>
          </w:tcPr>
          <w:p w14:paraId="0B915712" w14:textId="77777777" w:rsidR="00464C5B" w:rsidRPr="00FD0F55" w:rsidRDefault="00464C5B" w:rsidP="00FD0F55">
            <w:pPr>
              <w:spacing w:before="120" w:after="120"/>
              <w:jc w:val="center"/>
              <w:rPr>
                <w:b/>
              </w:rPr>
            </w:pPr>
            <w:r w:rsidRPr="00FD0F55">
              <w:rPr>
                <w:b/>
              </w:rPr>
              <w:t>Phương án xử lý</w:t>
            </w:r>
            <w:r w:rsidRPr="00FD0F55">
              <w:rPr>
                <w:b/>
                <w:i/>
              </w:rPr>
              <w:t xml:space="preserve"> </w:t>
            </w:r>
            <w:r w:rsidRPr="00FD0F55">
              <w:rPr>
                <w:i/>
              </w:rPr>
              <w:t>(xác định rõ hình thức xử lý văn bản cụ thể bao gồm: đình chỉ thi hành, sửa đổi, bổ sung, thay thế, bãi bỏ, ban hành mới)</w:t>
            </w:r>
          </w:p>
        </w:tc>
        <w:tc>
          <w:tcPr>
            <w:tcW w:w="1170" w:type="dxa"/>
            <w:shd w:val="clear" w:color="auto" w:fill="auto"/>
          </w:tcPr>
          <w:p w14:paraId="61C5FAB8" w14:textId="77777777" w:rsidR="00464C5B" w:rsidRPr="00FD0F55" w:rsidRDefault="00464C5B" w:rsidP="00FD0F55">
            <w:pPr>
              <w:spacing w:before="120" w:after="120"/>
              <w:ind w:hanging="108"/>
              <w:jc w:val="center"/>
              <w:rPr>
                <w:b/>
              </w:rPr>
            </w:pPr>
            <w:r w:rsidRPr="00FD0F55">
              <w:rPr>
                <w:b/>
              </w:rPr>
              <w:t xml:space="preserve">Đề xuất </w:t>
            </w:r>
            <w:r>
              <w:rPr>
                <w:b/>
              </w:rPr>
              <w:t>nội dung</w:t>
            </w:r>
            <w:r w:rsidRPr="00FD0F55">
              <w:rPr>
                <w:b/>
              </w:rPr>
              <w:t xml:space="preserve"> sửa đổi, bổ sung</w:t>
            </w:r>
          </w:p>
          <w:p w14:paraId="033052FE" w14:textId="77777777" w:rsidR="00464C5B" w:rsidRPr="00FD0F55" w:rsidRDefault="00464C5B" w:rsidP="00FD0F55">
            <w:pPr>
              <w:spacing w:before="120" w:after="120"/>
              <w:jc w:val="center"/>
              <w:rPr>
                <w:b/>
              </w:rPr>
            </w:pPr>
          </w:p>
        </w:tc>
        <w:tc>
          <w:tcPr>
            <w:tcW w:w="720" w:type="dxa"/>
            <w:shd w:val="clear" w:color="auto" w:fill="auto"/>
          </w:tcPr>
          <w:p w14:paraId="6FEC8E32" w14:textId="77777777" w:rsidR="00464C5B" w:rsidRPr="00FD0F55" w:rsidRDefault="00464C5B" w:rsidP="00FD0F55">
            <w:pPr>
              <w:spacing w:before="120" w:after="120"/>
              <w:jc w:val="center"/>
              <w:rPr>
                <w:b/>
              </w:rPr>
            </w:pPr>
            <w:r w:rsidRPr="00FD0F55">
              <w:rPr>
                <w:b/>
              </w:rPr>
              <w:t>Ghi chú</w:t>
            </w:r>
          </w:p>
        </w:tc>
      </w:tr>
      <w:tr w:rsidR="00464C5B" w:rsidRPr="00FD0F55" w14:paraId="151F524D" w14:textId="77777777" w:rsidTr="00FD0F55">
        <w:tc>
          <w:tcPr>
            <w:tcW w:w="642" w:type="dxa"/>
            <w:shd w:val="clear" w:color="auto" w:fill="auto"/>
          </w:tcPr>
          <w:p w14:paraId="731D2B0B" w14:textId="77777777" w:rsidR="00464C5B" w:rsidRPr="00FD0F55" w:rsidRDefault="00464C5B" w:rsidP="00FD0F55">
            <w:pPr>
              <w:spacing w:before="120" w:after="120"/>
              <w:jc w:val="both"/>
            </w:pPr>
            <w:r w:rsidRPr="00FD0F55">
              <w:t>1</w:t>
            </w:r>
          </w:p>
        </w:tc>
        <w:tc>
          <w:tcPr>
            <w:tcW w:w="1626" w:type="dxa"/>
            <w:shd w:val="clear" w:color="auto" w:fill="auto"/>
          </w:tcPr>
          <w:p w14:paraId="410939BC" w14:textId="77777777" w:rsidR="00464C5B" w:rsidRPr="00FD0F55" w:rsidRDefault="00464C5B" w:rsidP="00FD0F55">
            <w:pPr>
              <w:spacing w:before="120" w:after="120"/>
              <w:jc w:val="both"/>
            </w:pPr>
          </w:p>
        </w:tc>
        <w:tc>
          <w:tcPr>
            <w:tcW w:w="1980" w:type="dxa"/>
            <w:shd w:val="clear" w:color="auto" w:fill="auto"/>
          </w:tcPr>
          <w:p w14:paraId="19F8BB23" w14:textId="77777777" w:rsidR="00464C5B" w:rsidRPr="00FD0F55" w:rsidRDefault="00464C5B" w:rsidP="00FD0F55">
            <w:pPr>
              <w:spacing w:before="120" w:after="120"/>
              <w:jc w:val="both"/>
            </w:pPr>
          </w:p>
        </w:tc>
        <w:tc>
          <w:tcPr>
            <w:tcW w:w="1440" w:type="dxa"/>
            <w:shd w:val="clear" w:color="auto" w:fill="auto"/>
          </w:tcPr>
          <w:p w14:paraId="762FFF62" w14:textId="77777777" w:rsidR="00464C5B" w:rsidRPr="00FD0F55" w:rsidRDefault="00464C5B" w:rsidP="00FD0F55">
            <w:pPr>
              <w:spacing w:before="120" w:after="120"/>
              <w:jc w:val="both"/>
            </w:pPr>
          </w:p>
        </w:tc>
        <w:tc>
          <w:tcPr>
            <w:tcW w:w="1980" w:type="dxa"/>
            <w:shd w:val="clear" w:color="auto" w:fill="auto"/>
          </w:tcPr>
          <w:p w14:paraId="2A65525B" w14:textId="77777777" w:rsidR="00464C5B" w:rsidRPr="00FD0F55" w:rsidRDefault="00464C5B" w:rsidP="00FD0F55">
            <w:pPr>
              <w:spacing w:before="120" w:after="120"/>
              <w:jc w:val="both"/>
            </w:pPr>
          </w:p>
        </w:tc>
        <w:tc>
          <w:tcPr>
            <w:tcW w:w="1170" w:type="dxa"/>
            <w:shd w:val="clear" w:color="auto" w:fill="auto"/>
          </w:tcPr>
          <w:p w14:paraId="0C153B5D" w14:textId="77777777" w:rsidR="00464C5B" w:rsidRPr="00FD0F55" w:rsidRDefault="00464C5B" w:rsidP="00FD0F55">
            <w:pPr>
              <w:spacing w:before="120" w:after="120"/>
              <w:jc w:val="both"/>
            </w:pPr>
          </w:p>
        </w:tc>
        <w:tc>
          <w:tcPr>
            <w:tcW w:w="720" w:type="dxa"/>
            <w:shd w:val="clear" w:color="auto" w:fill="auto"/>
          </w:tcPr>
          <w:p w14:paraId="25930B25" w14:textId="77777777" w:rsidR="00464C5B" w:rsidRPr="00FD0F55" w:rsidRDefault="00464C5B" w:rsidP="00FD0F55">
            <w:pPr>
              <w:spacing w:before="120" w:after="120"/>
              <w:jc w:val="both"/>
            </w:pPr>
          </w:p>
        </w:tc>
      </w:tr>
      <w:tr w:rsidR="00464C5B" w:rsidRPr="00FD0F55" w14:paraId="40602060" w14:textId="77777777" w:rsidTr="00FD0F55">
        <w:tc>
          <w:tcPr>
            <w:tcW w:w="642" w:type="dxa"/>
            <w:shd w:val="clear" w:color="auto" w:fill="auto"/>
          </w:tcPr>
          <w:p w14:paraId="6DA50EDD" w14:textId="77777777" w:rsidR="00464C5B" w:rsidRPr="00FD0F55" w:rsidRDefault="00464C5B" w:rsidP="00FD0F55">
            <w:pPr>
              <w:spacing w:before="120" w:after="120"/>
              <w:jc w:val="both"/>
            </w:pPr>
            <w:r w:rsidRPr="00FD0F55">
              <w:lastRenderedPageBreak/>
              <w:t>2</w:t>
            </w:r>
          </w:p>
        </w:tc>
        <w:tc>
          <w:tcPr>
            <w:tcW w:w="1626" w:type="dxa"/>
            <w:shd w:val="clear" w:color="auto" w:fill="auto"/>
          </w:tcPr>
          <w:p w14:paraId="70382BA5" w14:textId="77777777" w:rsidR="00464C5B" w:rsidRPr="00FD0F55" w:rsidRDefault="00464C5B" w:rsidP="00FD0F55">
            <w:pPr>
              <w:spacing w:before="120" w:after="120"/>
              <w:jc w:val="both"/>
            </w:pPr>
          </w:p>
        </w:tc>
        <w:tc>
          <w:tcPr>
            <w:tcW w:w="1980" w:type="dxa"/>
            <w:shd w:val="clear" w:color="auto" w:fill="auto"/>
          </w:tcPr>
          <w:p w14:paraId="35EF406B" w14:textId="77777777" w:rsidR="00464C5B" w:rsidRPr="00FD0F55" w:rsidRDefault="00464C5B" w:rsidP="00FD0F55">
            <w:pPr>
              <w:spacing w:before="120" w:after="120"/>
              <w:jc w:val="both"/>
            </w:pPr>
          </w:p>
        </w:tc>
        <w:tc>
          <w:tcPr>
            <w:tcW w:w="1440" w:type="dxa"/>
            <w:shd w:val="clear" w:color="auto" w:fill="auto"/>
          </w:tcPr>
          <w:p w14:paraId="36871CDE" w14:textId="77777777" w:rsidR="00464C5B" w:rsidRPr="00FD0F55" w:rsidRDefault="00464C5B" w:rsidP="00FD0F55">
            <w:pPr>
              <w:spacing w:before="120" w:after="120"/>
              <w:jc w:val="both"/>
            </w:pPr>
          </w:p>
        </w:tc>
        <w:tc>
          <w:tcPr>
            <w:tcW w:w="1980" w:type="dxa"/>
            <w:shd w:val="clear" w:color="auto" w:fill="auto"/>
          </w:tcPr>
          <w:p w14:paraId="786B3BE0" w14:textId="77777777" w:rsidR="00464C5B" w:rsidRPr="00FD0F55" w:rsidRDefault="00464C5B" w:rsidP="00FD0F55">
            <w:pPr>
              <w:spacing w:before="120" w:after="120"/>
              <w:jc w:val="both"/>
            </w:pPr>
          </w:p>
        </w:tc>
        <w:tc>
          <w:tcPr>
            <w:tcW w:w="1170" w:type="dxa"/>
            <w:shd w:val="clear" w:color="auto" w:fill="auto"/>
          </w:tcPr>
          <w:p w14:paraId="44E4E84D" w14:textId="77777777" w:rsidR="00464C5B" w:rsidRPr="00FD0F55" w:rsidRDefault="00464C5B" w:rsidP="00FD0F55">
            <w:pPr>
              <w:spacing w:before="120" w:after="120"/>
              <w:jc w:val="both"/>
            </w:pPr>
          </w:p>
        </w:tc>
        <w:tc>
          <w:tcPr>
            <w:tcW w:w="720" w:type="dxa"/>
            <w:shd w:val="clear" w:color="auto" w:fill="auto"/>
          </w:tcPr>
          <w:p w14:paraId="1CB0A96B" w14:textId="77777777" w:rsidR="00464C5B" w:rsidRPr="00FD0F55" w:rsidRDefault="00464C5B" w:rsidP="00FD0F55">
            <w:pPr>
              <w:spacing w:before="120" w:after="120"/>
              <w:jc w:val="both"/>
            </w:pPr>
          </w:p>
        </w:tc>
      </w:tr>
    </w:tbl>
    <w:p w14:paraId="42C6C6AF" w14:textId="77777777" w:rsidR="00464C5B" w:rsidRPr="007C4A0A" w:rsidRDefault="00464C5B" w:rsidP="00C95FA4">
      <w:pPr>
        <w:spacing w:before="120" w:after="120"/>
        <w:ind w:firstLine="567"/>
        <w:jc w:val="both"/>
        <w:rPr>
          <w:b/>
        </w:rPr>
      </w:pPr>
      <w:r w:rsidRPr="007C4A0A">
        <w:rPr>
          <w:b/>
        </w:rPr>
        <w:t>3. Đối với các quy định về Quy chế tổ chức và hoạt động của trường phổ thông dân tộc bán trú</w:t>
      </w:r>
    </w:p>
    <w:p w14:paraId="5EC1102C" w14:textId="77777777" w:rsidR="00464C5B" w:rsidRDefault="00464C5B" w:rsidP="00C95FA4">
      <w:pPr>
        <w:spacing w:before="120" w:after="120"/>
        <w:ind w:firstLine="567"/>
        <w:jc w:val="both"/>
      </w:pPr>
      <w:r>
        <w:t>T</w:t>
      </w:r>
      <w:r w:rsidRPr="00F9072C">
        <w:t>ừ những vấn đề còn hạn chế</w:t>
      </w:r>
      <w:r>
        <w:t>,</w:t>
      </w:r>
      <w:r w:rsidRPr="00F9072C">
        <w:t xml:space="preserve"> tồn tại được chỉ ra tại phần </w:t>
      </w:r>
      <w:r>
        <w:t>I,</w:t>
      </w:r>
      <w:r w:rsidRPr="00F9072C">
        <w:t xml:space="preserve"> đề xuất cụ thể việc sửa đổi</w:t>
      </w:r>
      <w:r>
        <w:t>,</w:t>
      </w:r>
      <w:r w:rsidRPr="00F9072C">
        <w:t xml:space="preserve"> bổ sung đối với từng nội dung quy định tại </w:t>
      </w:r>
      <w:r>
        <w:t>T</w:t>
      </w:r>
      <w:r w:rsidRPr="00F9072C">
        <w:t>hông</w:t>
      </w:r>
      <w:r>
        <w:t xml:space="preserve"> t</w:t>
      </w:r>
      <w:r w:rsidRPr="00F9072C">
        <w:t xml:space="preserve">ư số </w:t>
      </w:r>
      <w:r>
        <w:t>03</w:t>
      </w:r>
      <w:r w:rsidRPr="00C95FA4">
        <w:t>/202</w:t>
      </w:r>
      <w:r>
        <w:t>3</w:t>
      </w:r>
      <w:r w:rsidRPr="00C95FA4">
        <w:t xml:space="preserve">/TT-BGDDT ngày </w:t>
      </w:r>
      <w:r>
        <w:t>06</w:t>
      </w:r>
      <w:r w:rsidRPr="00C95FA4">
        <w:t>/</w:t>
      </w:r>
      <w:r>
        <w:t>2</w:t>
      </w:r>
      <w:r w:rsidRPr="00C95FA4">
        <w:t>/202</w:t>
      </w:r>
      <w:r>
        <w:t>3</w:t>
      </w:r>
      <w:r w:rsidRPr="00C95FA4">
        <w:t xml:space="preserve"> </w:t>
      </w:r>
      <w:r w:rsidRPr="00F9072C">
        <w:t xml:space="preserve">ban hành </w:t>
      </w:r>
      <w:r>
        <w:t>Q</w:t>
      </w:r>
      <w:r w:rsidRPr="00F9072C">
        <w:t>uy chế tổ chức và hoạt động của trường phổ thông dân tộc bán trú theo bảng dưới đây</w:t>
      </w:r>
      <w: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1716"/>
        <w:gridCol w:w="1890"/>
        <w:gridCol w:w="1440"/>
        <w:gridCol w:w="2070"/>
        <w:gridCol w:w="1170"/>
        <w:gridCol w:w="720"/>
      </w:tblGrid>
      <w:tr w:rsidR="00464C5B" w:rsidRPr="00FD0F55" w14:paraId="229BF90C" w14:textId="77777777" w:rsidTr="00FD0F55">
        <w:tc>
          <w:tcPr>
            <w:tcW w:w="642" w:type="dxa"/>
            <w:shd w:val="clear" w:color="auto" w:fill="auto"/>
          </w:tcPr>
          <w:p w14:paraId="2F9657B4" w14:textId="77777777" w:rsidR="00464C5B" w:rsidRPr="00FD0F55" w:rsidRDefault="00464C5B" w:rsidP="00FD0F55">
            <w:pPr>
              <w:spacing w:before="120" w:after="120"/>
              <w:jc w:val="center"/>
              <w:rPr>
                <w:b/>
              </w:rPr>
            </w:pPr>
            <w:r w:rsidRPr="00FD0F55">
              <w:rPr>
                <w:b/>
              </w:rPr>
              <w:t>TT</w:t>
            </w:r>
          </w:p>
        </w:tc>
        <w:tc>
          <w:tcPr>
            <w:tcW w:w="1716" w:type="dxa"/>
            <w:shd w:val="clear" w:color="auto" w:fill="auto"/>
          </w:tcPr>
          <w:p w14:paraId="35AF6790" w14:textId="77777777" w:rsidR="00464C5B" w:rsidRPr="00FD0F55" w:rsidRDefault="00464C5B" w:rsidP="00FD0F55">
            <w:pPr>
              <w:spacing w:before="120" w:after="120"/>
              <w:ind w:hanging="102"/>
              <w:jc w:val="center"/>
              <w:rPr>
                <w:b/>
              </w:rPr>
            </w:pPr>
            <w:r w:rsidRPr="00FD0F55">
              <w:rPr>
                <w:b/>
              </w:rPr>
              <w:t xml:space="preserve">Nội dung tại Thông tư số 03/2023/TT-BGDĐT </w:t>
            </w:r>
            <w:r w:rsidRPr="00FD0F55">
              <w:rPr>
                <w:i/>
              </w:rPr>
              <w:t>(nêu rõ điều, khoản, điểm hoặc các đề mục tại các Phụ lục)</w:t>
            </w:r>
          </w:p>
          <w:p w14:paraId="2524CA9E" w14:textId="77777777" w:rsidR="00464C5B" w:rsidRPr="00FD0F55" w:rsidRDefault="00464C5B" w:rsidP="00FD0F55">
            <w:pPr>
              <w:spacing w:before="120" w:after="120"/>
              <w:jc w:val="center"/>
              <w:rPr>
                <w:b/>
              </w:rPr>
            </w:pPr>
          </w:p>
        </w:tc>
        <w:tc>
          <w:tcPr>
            <w:tcW w:w="1890" w:type="dxa"/>
            <w:shd w:val="clear" w:color="auto" w:fill="auto"/>
          </w:tcPr>
          <w:p w14:paraId="0F7DD7EF" w14:textId="77777777" w:rsidR="00464C5B" w:rsidRPr="00FD0F55" w:rsidRDefault="00464C5B" w:rsidP="00FD0F55">
            <w:pPr>
              <w:spacing w:before="240" w:after="120"/>
              <w:ind w:left="-108" w:right="-18"/>
              <w:jc w:val="center"/>
              <w:rPr>
                <w:b/>
              </w:rPr>
            </w:pPr>
            <w:r w:rsidRPr="00FD0F55">
              <w:rPr>
                <w:b/>
              </w:rPr>
              <w:t xml:space="preserve">Nội dung quy định của văn bản liên quan là căn cứ để rà soát, đối chiếu </w:t>
            </w:r>
            <w:r w:rsidRPr="00FD0F55">
              <w:rPr>
                <w:i/>
              </w:rPr>
              <w:t>(Nêu nội dung quy định cụ thể của văn bản quy phạm pháp luật liên quan là căn cứ đối chiếu để các xác định các quy định mâu thuẫn chồng chéo)</w:t>
            </w:r>
          </w:p>
        </w:tc>
        <w:tc>
          <w:tcPr>
            <w:tcW w:w="1440" w:type="dxa"/>
            <w:shd w:val="clear" w:color="auto" w:fill="auto"/>
          </w:tcPr>
          <w:p w14:paraId="69D198B4" w14:textId="77777777" w:rsidR="00464C5B" w:rsidRPr="00FD0F55" w:rsidRDefault="00464C5B" w:rsidP="00FD0F55">
            <w:pPr>
              <w:spacing w:before="120" w:after="120"/>
              <w:ind w:firstLine="41"/>
              <w:jc w:val="center"/>
              <w:rPr>
                <w:b/>
              </w:rPr>
            </w:pPr>
            <w:r w:rsidRPr="00FD0F55">
              <w:rPr>
                <w:b/>
              </w:rPr>
              <w:t>Phân tích quy định mâu thuẫn, chồng chéo, bất cập hoặc không còn phù hợp với thực t</w:t>
            </w:r>
            <w:r>
              <w:rPr>
                <w:b/>
              </w:rPr>
              <w:t>iễn</w:t>
            </w:r>
          </w:p>
          <w:p w14:paraId="28DC2A07" w14:textId="77777777" w:rsidR="00464C5B" w:rsidRPr="00FD0F55" w:rsidRDefault="00464C5B" w:rsidP="00FD0F55">
            <w:pPr>
              <w:spacing w:before="120" w:after="120"/>
              <w:jc w:val="center"/>
              <w:rPr>
                <w:b/>
              </w:rPr>
            </w:pPr>
          </w:p>
        </w:tc>
        <w:tc>
          <w:tcPr>
            <w:tcW w:w="2070" w:type="dxa"/>
            <w:shd w:val="clear" w:color="auto" w:fill="auto"/>
          </w:tcPr>
          <w:p w14:paraId="214512F4" w14:textId="77777777" w:rsidR="00464C5B" w:rsidRPr="00FD0F55" w:rsidRDefault="00464C5B" w:rsidP="00FD0F55">
            <w:pPr>
              <w:spacing w:before="120" w:after="120"/>
              <w:jc w:val="center"/>
              <w:rPr>
                <w:b/>
              </w:rPr>
            </w:pPr>
            <w:r w:rsidRPr="00FD0F55">
              <w:rPr>
                <w:b/>
              </w:rPr>
              <w:t>Phương án xử lý</w:t>
            </w:r>
            <w:r w:rsidRPr="00FD0F55">
              <w:rPr>
                <w:b/>
                <w:i/>
              </w:rPr>
              <w:t xml:space="preserve"> </w:t>
            </w:r>
            <w:r w:rsidRPr="00FD0F55">
              <w:rPr>
                <w:i/>
              </w:rPr>
              <w:t>(xác định rõ hình thức xử lý văn bản cụ thể bao gồm: đình chỉ thi hành, sửa đổi, bổ sung, thay thế, bãi bỏ, ban hành mới)</w:t>
            </w:r>
          </w:p>
        </w:tc>
        <w:tc>
          <w:tcPr>
            <w:tcW w:w="1170" w:type="dxa"/>
            <w:shd w:val="clear" w:color="auto" w:fill="auto"/>
          </w:tcPr>
          <w:p w14:paraId="71F4EE42" w14:textId="77777777" w:rsidR="00464C5B" w:rsidRPr="00FD0F55" w:rsidRDefault="00464C5B" w:rsidP="00FD0F55">
            <w:pPr>
              <w:spacing w:before="120" w:after="120"/>
              <w:ind w:hanging="108"/>
              <w:jc w:val="center"/>
              <w:rPr>
                <w:b/>
              </w:rPr>
            </w:pPr>
            <w:r w:rsidRPr="00FD0F55">
              <w:rPr>
                <w:b/>
              </w:rPr>
              <w:t xml:space="preserve">Đề xuất </w:t>
            </w:r>
            <w:r>
              <w:rPr>
                <w:b/>
              </w:rPr>
              <w:t>nội dung</w:t>
            </w:r>
            <w:r w:rsidRPr="00FD0F55">
              <w:rPr>
                <w:b/>
              </w:rPr>
              <w:t xml:space="preserve"> sửa đổi, bổ sung</w:t>
            </w:r>
          </w:p>
          <w:p w14:paraId="5C654F17" w14:textId="77777777" w:rsidR="00464C5B" w:rsidRPr="00FD0F55" w:rsidRDefault="00464C5B" w:rsidP="00FD0F55">
            <w:pPr>
              <w:spacing w:before="120" w:after="120"/>
              <w:ind w:left="-198" w:right="-198"/>
              <w:jc w:val="center"/>
              <w:rPr>
                <w:b/>
              </w:rPr>
            </w:pPr>
          </w:p>
        </w:tc>
        <w:tc>
          <w:tcPr>
            <w:tcW w:w="720" w:type="dxa"/>
            <w:shd w:val="clear" w:color="auto" w:fill="auto"/>
          </w:tcPr>
          <w:p w14:paraId="3597FB99" w14:textId="77777777" w:rsidR="00464C5B" w:rsidRPr="00FD0F55" w:rsidRDefault="00464C5B" w:rsidP="00FD0F55">
            <w:pPr>
              <w:spacing w:before="120" w:after="120"/>
              <w:jc w:val="center"/>
              <w:rPr>
                <w:b/>
              </w:rPr>
            </w:pPr>
            <w:r w:rsidRPr="00FD0F55">
              <w:rPr>
                <w:b/>
              </w:rPr>
              <w:t>Ghi chú</w:t>
            </w:r>
          </w:p>
        </w:tc>
      </w:tr>
      <w:tr w:rsidR="00464C5B" w:rsidRPr="00FD0F55" w14:paraId="64E3E9AC" w14:textId="77777777" w:rsidTr="00FD0F55">
        <w:tc>
          <w:tcPr>
            <w:tcW w:w="642" w:type="dxa"/>
            <w:shd w:val="clear" w:color="auto" w:fill="auto"/>
          </w:tcPr>
          <w:p w14:paraId="54ADFA61" w14:textId="77777777" w:rsidR="00464C5B" w:rsidRPr="00FD0F55" w:rsidRDefault="00464C5B" w:rsidP="00FD0F55">
            <w:pPr>
              <w:spacing w:before="120" w:after="120"/>
              <w:jc w:val="both"/>
            </w:pPr>
            <w:r w:rsidRPr="00FD0F55">
              <w:t>1</w:t>
            </w:r>
          </w:p>
        </w:tc>
        <w:tc>
          <w:tcPr>
            <w:tcW w:w="1716" w:type="dxa"/>
            <w:shd w:val="clear" w:color="auto" w:fill="auto"/>
          </w:tcPr>
          <w:p w14:paraId="316B3DD8" w14:textId="77777777" w:rsidR="00464C5B" w:rsidRPr="00FD0F55" w:rsidRDefault="00464C5B" w:rsidP="00FD0F55">
            <w:pPr>
              <w:spacing w:before="120" w:after="120"/>
              <w:jc w:val="both"/>
            </w:pPr>
          </w:p>
        </w:tc>
        <w:tc>
          <w:tcPr>
            <w:tcW w:w="1890" w:type="dxa"/>
            <w:shd w:val="clear" w:color="auto" w:fill="auto"/>
          </w:tcPr>
          <w:p w14:paraId="7A3062CE" w14:textId="77777777" w:rsidR="00464C5B" w:rsidRPr="00FD0F55" w:rsidRDefault="00464C5B" w:rsidP="00FD0F55">
            <w:pPr>
              <w:spacing w:before="120" w:after="120"/>
              <w:jc w:val="both"/>
            </w:pPr>
          </w:p>
        </w:tc>
        <w:tc>
          <w:tcPr>
            <w:tcW w:w="1440" w:type="dxa"/>
            <w:shd w:val="clear" w:color="auto" w:fill="auto"/>
          </w:tcPr>
          <w:p w14:paraId="2D4B62C9" w14:textId="77777777" w:rsidR="00464C5B" w:rsidRPr="00FD0F55" w:rsidRDefault="00464C5B" w:rsidP="00FD0F55">
            <w:pPr>
              <w:spacing w:before="120" w:after="120"/>
              <w:jc w:val="both"/>
            </w:pPr>
          </w:p>
        </w:tc>
        <w:tc>
          <w:tcPr>
            <w:tcW w:w="2070" w:type="dxa"/>
            <w:shd w:val="clear" w:color="auto" w:fill="auto"/>
          </w:tcPr>
          <w:p w14:paraId="40198CDD" w14:textId="77777777" w:rsidR="00464C5B" w:rsidRPr="00FD0F55" w:rsidRDefault="00464C5B" w:rsidP="00FD0F55">
            <w:pPr>
              <w:spacing w:before="120" w:after="120"/>
              <w:jc w:val="both"/>
            </w:pPr>
          </w:p>
        </w:tc>
        <w:tc>
          <w:tcPr>
            <w:tcW w:w="1170" w:type="dxa"/>
            <w:shd w:val="clear" w:color="auto" w:fill="auto"/>
          </w:tcPr>
          <w:p w14:paraId="2F3DDDF1" w14:textId="77777777" w:rsidR="00464C5B" w:rsidRPr="00FD0F55" w:rsidRDefault="00464C5B" w:rsidP="00FD0F55">
            <w:pPr>
              <w:spacing w:before="120" w:after="120"/>
              <w:jc w:val="both"/>
            </w:pPr>
          </w:p>
        </w:tc>
        <w:tc>
          <w:tcPr>
            <w:tcW w:w="720" w:type="dxa"/>
            <w:shd w:val="clear" w:color="auto" w:fill="auto"/>
          </w:tcPr>
          <w:p w14:paraId="7378305A" w14:textId="77777777" w:rsidR="00464C5B" w:rsidRPr="00FD0F55" w:rsidRDefault="00464C5B" w:rsidP="00FD0F55">
            <w:pPr>
              <w:spacing w:before="120" w:after="120"/>
              <w:jc w:val="both"/>
            </w:pPr>
          </w:p>
        </w:tc>
      </w:tr>
      <w:tr w:rsidR="00464C5B" w:rsidRPr="00FD0F55" w14:paraId="4FA037C4" w14:textId="77777777" w:rsidTr="00FD0F55">
        <w:tc>
          <w:tcPr>
            <w:tcW w:w="642" w:type="dxa"/>
            <w:shd w:val="clear" w:color="auto" w:fill="auto"/>
          </w:tcPr>
          <w:p w14:paraId="16886ACA" w14:textId="77777777" w:rsidR="00464C5B" w:rsidRPr="00FD0F55" w:rsidRDefault="00464C5B" w:rsidP="00FD0F55">
            <w:pPr>
              <w:spacing w:before="120" w:after="120"/>
              <w:jc w:val="both"/>
            </w:pPr>
            <w:r w:rsidRPr="00FD0F55">
              <w:t>2</w:t>
            </w:r>
          </w:p>
        </w:tc>
        <w:tc>
          <w:tcPr>
            <w:tcW w:w="1716" w:type="dxa"/>
            <w:shd w:val="clear" w:color="auto" w:fill="auto"/>
          </w:tcPr>
          <w:p w14:paraId="0A75922A" w14:textId="77777777" w:rsidR="00464C5B" w:rsidRPr="00FD0F55" w:rsidRDefault="00464C5B" w:rsidP="00FD0F55">
            <w:pPr>
              <w:spacing w:before="120" w:after="120"/>
              <w:jc w:val="both"/>
            </w:pPr>
          </w:p>
        </w:tc>
        <w:tc>
          <w:tcPr>
            <w:tcW w:w="1890" w:type="dxa"/>
            <w:shd w:val="clear" w:color="auto" w:fill="auto"/>
          </w:tcPr>
          <w:p w14:paraId="5B75135F" w14:textId="77777777" w:rsidR="00464C5B" w:rsidRPr="00FD0F55" w:rsidRDefault="00464C5B" w:rsidP="00FD0F55">
            <w:pPr>
              <w:spacing w:before="120" w:after="120"/>
              <w:jc w:val="both"/>
            </w:pPr>
          </w:p>
        </w:tc>
        <w:tc>
          <w:tcPr>
            <w:tcW w:w="1440" w:type="dxa"/>
            <w:shd w:val="clear" w:color="auto" w:fill="auto"/>
          </w:tcPr>
          <w:p w14:paraId="3575139B" w14:textId="77777777" w:rsidR="00464C5B" w:rsidRPr="00FD0F55" w:rsidRDefault="00464C5B" w:rsidP="00FD0F55">
            <w:pPr>
              <w:spacing w:before="120" w:after="120"/>
              <w:jc w:val="both"/>
            </w:pPr>
          </w:p>
        </w:tc>
        <w:tc>
          <w:tcPr>
            <w:tcW w:w="2070" w:type="dxa"/>
            <w:shd w:val="clear" w:color="auto" w:fill="auto"/>
          </w:tcPr>
          <w:p w14:paraId="677DF0F5" w14:textId="77777777" w:rsidR="00464C5B" w:rsidRPr="00FD0F55" w:rsidRDefault="00464C5B" w:rsidP="00FD0F55">
            <w:pPr>
              <w:spacing w:before="120" w:after="120"/>
              <w:jc w:val="both"/>
            </w:pPr>
          </w:p>
        </w:tc>
        <w:tc>
          <w:tcPr>
            <w:tcW w:w="1170" w:type="dxa"/>
            <w:shd w:val="clear" w:color="auto" w:fill="auto"/>
          </w:tcPr>
          <w:p w14:paraId="6591C410" w14:textId="77777777" w:rsidR="00464C5B" w:rsidRPr="00FD0F55" w:rsidRDefault="00464C5B" w:rsidP="00FD0F55">
            <w:pPr>
              <w:spacing w:before="120" w:after="120"/>
              <w:jc w:val="both"/>
            </w:pPr>
          </w:p>
        </w:tc>
        <w:tc>
          <w:tcPr>
            <w:tcW w:w="720" w:type="dxa"/>
            <w:shd w:val="clear" w:color="auto" w:fill="auto"/>
          </w:tcPr>
          <w:p w14:paraId="241B8A95" w14:textId="77777777" w:rsidR="00464C5B" w:rsidRPr="00FD0F55" w:rsidRDefault="00464C5B" w:rsidP="00FD0F55">
            <w:pPr>
              <w:spacing w:before="120" w:after="120"/>
              <w:jc w:val="both"/>
            </w:pPr>
          </w:p>
        </w:tc>
      </w:tr>
    </w:tbl>
    <w:p w14:paraId="5088388A" w14:textId="77777777" w:rsidR="00464C5B" w:rsidRPr="00D02688" w:rsidRDefault="00464C5B" w:rsidP="00C95FA4">
      <w:pPr>
        <w:spacing w:before="120" w:after="120"/>
        <w:ind w:firstLine="567"/>
        <w:jc w:val="both"/>
        <w:rPr>
          <w:b/>
        </w:rPr>
      </w:pPr>
      <w:r w:rsidRPr="00D02688">
        <w:rPr>
          <w:b/>
        </w:rPr>
        <w:t xml:space="preserve">4. Đối với các quy định về </w:t>
      </w:r>
      <w:r>
        <w:rPr>
          <w:b/>
        </w:rPr>
        <w:t>Q</w:t>
      </w:r>
      <w:r w:rsidRPr="00D02688">
        <w:rPr>
          <w:b/>
        </w:rPr>
        <w:t xml:space="preserve">uy chế tổ chức và hoạt động của trường phổ thông dân tộc nội trú </w:t>
      </w:r>
    </w:p>
    <w:p w14:paraId="14EDD3E9" w14:textId="77777777" w:rsidR="00464C5B" w:rsidRDefault="00464C5B" w:rsidP="00C95FA4">
      <w:pPr>
        <w:spacing w:before="120" w:after="120"/>
        <w:ind w:firstLine="567"/>
        <w:jc w:val="both"/>
      </w:pPr>
      <w:r>
        <w:t xml:space="preserve">Từ những vấn đề còn hạn chế, </w:t>
      </w:r>
      <w:r w:rsidRPr="00D02688">
        <w:t xml:space="preserve">tồn tại được chỉ ra tại phần </w:t>
      </w:r>
      <w:r>
        <w:t xml:space="preserve">I, </w:t>
      </w:r>
      <w:r w:rsidRPr="00D02688">
        <w:t>đề xuất cụ thể việc sửa đổi</w:t>
      </w:r>
      <w:r>
        <w:t>,</w:t>
      </w:r>
      <w:r w:rsidRPr="00D02688">
        <w:t xml:space="preserve"> bổ sung đối với các t</w:t>
      </w:r>
      <w:r>
        <w:t>ừng</w:t>
      </w:r>
      <w:r w:rsidRPr="00D02688">
        <w:t xml:space="preserve"> nội dung quy định tại </w:t>
      </w:r>
      <w:r>
        <w:t>T</w:t>
      </w:r>
      <w:r w:rsidRPr="00F9072C">
        <w:t>hông</w:t>
      </w:r>
      <w:r>
        <w:t xml:space="preserve"> t</w:t>
      </w:r>
      <w:r w:rsidRPr="00F9072C">
        <w:t xml:space="preserve">ư số </w:t>
      </w:r>
      <w:r>
        <w:t>04</w:t>
      </w:r>
      <w:r w:rsidRPr="00C95FA4">
        <w:t>/202</w:t>
      </w:r>
      <w:r>
        <w:t>3</w:t>
      </w:r>
      <w:r w:rsidRPr="00C95FA4">
        <w:t>/TT-BGD</w:t>
      </w:r>
      <w:r>
        <w:t>Đ</w:t>
      </w:r>
      <w:r w:rsidRPr="00C95FA4">
        <w:t xml:space="preserve">T ngày </w:t>
      </w:r>
      <w:r>
        <w:t>23</w:t>
      </w:r>
      <w:r w:rsidRPr="00C95FA4">
        <w:t>/</w:t>
      </w:r>
      <w:r>
        <w:t>02</w:t>
      </w:r>
      <w:r w:rsidRPr="00C95FA4">
        <w:t>/202</w:t>
      </w:r>
      <w:r>
        <w:t>3</w:t>
      </w:r>
      <w:r w:rsidRPr="00C95FA4">
        <w:t xml:space="preserve"> </w:t>
      </w:r>
      <w:r w:rsidRPr="00D02688">
        <w:t xml:space="preserve">ban hành </w:t>
      </w:r>
      <w:r>
        <w:t>Q</w:t>
      </w:r>
      <w:r w:rsidRPr="00D02688">
        <w:t xml:space="preserve">uy chế tổ chức </w:t>
      </w:r>
      <w:r>
        <w:t xml:space="preserve">và </w:t>
      </w:r>
      <w:r w:rsidRPr="00D02688">
        <w:t>hoạt động của trường phổ thông dân</w:t>
      </w:r>
      <w:r>
        <w:t xml:space="preserve"> tộc nội trú theo bảng dưới đây:</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679"/>
        <w:gridCol w:w="1958"/>
        <w:gridCol w:w="1432"/>
        <w:gridCol w:w="1965"/>
        <w:gridCol w:w="1164"/>
        <w:gridCol w:w="719"/>
      </w:tblGrid>
      <w:tr w:rsidR="00464C5B" w:rsidRPr="00FD0F55" w14:paraId="19E6622F" w14:textId="77777777" w:rsidTr="00FD0F55">
        <w:tc>
          <w:tcPr>
            <w:tcW w:w="642" w:type="dxa"/>
            <w:shd w:val="clear" w:color="auto" w:fill="auto"/>
          </w:tcPr>
          <w:p w14:paraId="02E759F4" w14:textId="77777777" w:rsidR="00464C5B" w:rsidRPr="00FD0F55" w:rsidRDefault="00464C5B" w:rsidP="00FD0F55">
            <w:pPr>
              <w:spacing w:before="120" w:after="120"/>
              <w:jc w:val="center"/>
              <w:rPr>
                <w:b/>
              </w:rPr>
            </w:pPr>
            <w:r w:rsidRPr="00FD0F55">
              <w:rPr>
                <w:b/>
              </w:rPr>
              <w:t>TT</w:t>
            </w:r>
          </w:p>
        </w:tc>
        <w:tc>
          <w:tcPr>
            <w:tcW w:w="1626" w:type="dxa"/>
            <w:shd w:val="clear" w:color="auto" w:fill="auto"/>
          </w:tcPr>
          <w:p w14:paraId="0072A3FC" w14:textId="77777777" w:rsidR="00464C5B" w:rsidRPr="00FD0F55" w:rsidRDefault="00464C5B" w:rsidP="00FD0F55">
            <w:pPr>
              <w:spacing w:before="120" w:after="120"/>
              <w:ind w:hanging="102"/>
              <w:jc w:val="center"/>
              <w:rPr>
                <w:b/>
              </w:rPr>
            </w:pPr>
            <w:r w:rsidRPr="00FD0F55">
              <w:rPr>
                <w:b/>
              </w:rPr>
              <w:t xml:space="preserve">Nội dung tại Thông tư số 03/2023/TT-BGDĐT </w:t>
            </w:r>
            <w:r w:rsidRPr="00FD0F55">
              <w:rPr>
                <w:i/>
              </w:rPr>
              <w:t xml:space="preserve">(nêu rõ điều, </w:t>
            </w:r>
            <w:r w:rsidRPr="00FD0F55">
              <w:rPr>
                <w:i/>
              </w:rPr>
              <w:lastRenderedPageBreak/>
              <w:t>khoản, điểm hoặc các đề mục tại các Phụ lục)</w:t>
            </w:r>
          </w:p>
          <w:p w14:paraId="4909B2D2" w14:textId="77777777" w:rsidR="00464C5B" w:rsidRPr="00FD0F55" w:rsidRDefault="00464C5B" w:rsidP="00FD0F55">
            <w:pPr>
              <w:spacing w:before="120" w:after="120"/>
              <w:jc w:val="center"/>
              <w:rPr>
                <w:b/>
              </w:rPr>
            </w:pPr>
          </w:p>
        </w:tc>
        <w:tc>
          <w:tcPr>
            <w:tcW w:w="1980" w:type="dxa"/>
            <w:shd w:val="clear" w:color="auto" w:fill="auto"/>
          </w:tcPr>
          <w:p w14:paraId="141DFC93" w14:textId="77777777" w:rsidR="00464C5B" w:rsidRPr="00FD0F55" w:rsidRDefault="00464C5B" w:rsidP="00FD0F55">
            <w:pPr>
              <w:spacing w:before="120" w:after="120"/>
              <w:ind w:left="-102" w:right="-108" w:firstLine="102"/>
              <w:jc w:val="center"/>
              <w:rPr>
                <w:b/>
              </w:rPr>
            </w:pPr>
            <w:r w:rsidRPr="00FD0F55">
              <w:rPr>
                <w:b/>
              </w:rPr>
              <w:lastRenderedPageBreak/>
              <w:t xml:space="preserve">Nội dung quy định của văn bản liên quan là căn cứ để rà soát, đối chiếu </w:t>
            </w:r>
            <w:r w:rsidRPr="00FD0F55">
              <w:rPr>
                <w:i/>
              </w:rPr>
              <w:lastRenderedPageBreak/>
              <w:t>(Nêu nội dung quy định cụ thể của văn bản quy phạm pháp luật liên quan là căn cứ đối chiếu để các xác định các quy định mâu thuẫn chồng chéo)</w:t>
            </w:r>
          </w:p>
        </w:tc>
        <w:tc>
          <w:tcPr>
            <w:tcW w:w="1440" w:type="dxa"/>
            <w:shd w:val="clear" w:color="auto" w:fill="auto"/>
          </w:tcPr>
          <w:p w14:paraId="5D6F556A" w14:textId="77777777" w:rsidR="00464C5B" w:rsidRPr="00FD0F55" w:rsidRDefault="00464C5B" w:rsidP="00FD0F55">
            <w:pPr>
              <w:spacing w:before="120" w:after="120"/>
              <w:ind w:hanging="108"/>
              <w:jc w:val="center"/>
              <w:rPr>
                <w:b/>
              </w:rPr>
            </w:pPr>
            <w:r w:rsidRPr="00FD0F55">
              <w:rPr>
                <w:b/>
              </w:rPr>
              <w:lastRenderedPageBreak/>
              <w:t xml:space="preserve">Phân </w:t>
            </w:r>
            <w:proofErr w:type="gramStart"/>
            <w:r w:rsidRPr="00FD0F55">
              <w:rPr>
                <w:b/>
              </w:rPr>
              <w:t>tích  quy</w:t>
            </w:r>
            <w:proofErr w:type="gramEnd"/>
            <w:r w:rsidRPr="00FD0F55">
              <w:rPr>
                <w:b/>
              </w:rPr>
              <w:t xml:space="preserve"> định mâu thuẫn, chồng </w:t>
            </w:r>
            <w:r w:rsidRPr="00FD0F55">
              <w:rPr>
                <w:b/>
              </w:rPr>
              <w:lastRenderedPageBreak/>
              <w:t>chéo, bất cập hoặc không còn phù hợp với thực t</w:t>
            </w:r>
            <w:r>
              <w:rPr>
                <w:b/>
              </w:rPr>
              <w:t>iễn</w:t>
            </w:r>
          </w:p>
          <w:p w14:paraId="132C9E53" w14:textId="77777777" w:rsidR="00464C5B" w:rsidRPr="00FD0F55" w:rsidRDefault="00464C5B" w:rsidP="00FD0F55">
            <w:pPr>
              <w:spacing w:before="120" w:after="120"/>
              <w:jc w:val="center"/>
              <w:rPr>
                <w:b/>
              </w:rPr>
            </w:pPr>
          </w:p>
        </w:tc>
        <w:tc>
          <w:tcPr>
            <w:tcW w:w="1980" w:type="dxa"/>
            <w:shd w:val="clear" w:color="auto" w:fill="auto"/>
          </w:tcPr>
          <w:p w14:paraId="31C28F53" w14:textId="77777777" w:rsidR="00464C5B" w:rsidRPr="00FD0F55" w:rsidRDefault="00464C5B" w:rsidP="00FD0F55">
            <w:pPr>
              <w:spacing w:before="120" w:after="120"/>
              <w:jc w:val="center"/>
              <w:rPr>
                <w:b/>
              </w:rPr>
            </w:pPr>
            <w:r w:rsidRPr="00FD0F55">
              <w:rPr>
                <w:b/>
              </w:rPr>
              <w:lastRenderedPageBreak/>
              <w:t>Phương án xử lý</w:t>
            </w:r>
            <w:r w:rsidRPr="00FD0F55">
              <w:rPr>
                <w:b/>
                <w:i/>
              </w:rPr>
              <w:t xml:space="preserve"> </w:t>
            </w:r>
            <w:r w:rsidRPr="00FD0F55">
              <w:rPr>
                <w:i/>
              </w:rPr>
              <w:t xml:space="preserve">(xác định rõ hình thức xử lý văn bản cụ thể bao gồm: đình </w:t>
            </w:r>
            <w:r w:rsidRPr="00FD0F55">
              <w:rPr>
                <w:i/>
              </w:rPr>
              <w:lastRenderedPageBreak/>
              <w:t>chỉ thi hành, sửa đổi, bổ sung, thay thế, bãi bỏ, ban hành mới)</w:t>
            </w:r>
          </w:p>
        </w:tc>
        <w:tc>
          <w:tcPr>
            <w:tcW w:w="1170" w:type="dxa"/>
            <w:shd w:val="clear" w:color="auto" w:fill="auto"/>
          </w:tcPr>
          <w:p w14:paraId="10012D56" w14:textId="77777777" w:rsidR="00464C5B" w:rsidRPr="00FD0F55" w:rsidRDefault="00464C5B" w:rsidP="00FD0F55">
            <w:pPr>
              <w:spacing w:before="120" w:after="120"/>
              <w:ind w:hanging="108"/>
              <w:jc w:val="center"/>
              <w:rPr>
                <w:b/>
              </w:rPr>
            </w:pPr>
            <w:r w:rsidRPr="00FD0F55">
              <w:rPr>
                <w:b/>
              </w:rPr>
              <w:lastRenderedPageBreak/>
              <w:t xml:space="preserve">Đề xuất </w:t>
            </w:r>
            <w:r>
              <w:rPr>
                <w:b/>
              </w:rPr>
              <w:t>nội dung</w:t>
            </w:r>
            <w:r w:rsidRPr="00FD0F55">
              <w:rPr>
                <w:b/>
              </w:rPr>
              <w:t xml:space="preserve"> </w:t>
            </w:r>
            <w:r w:rsidRPr="00FD0F55">
              <w:rPr>
                <w:b/>
              </w:rPr>
              <w:lastRenderedPageBreak/>
              <w:t>sửa đổi, bổ sung</w:t>
            </w:r>
          </w:p>
          <w:p w14:paraId="1834E8FA" w14:textId="77777777" w:rsidR="00464C5B" w:rsidRPr="00FD0F55" w:rsidRDefault="00464C5B" w:rsidP="00FD0F55">
            <w:pPr>
              <w:spacing w:before="120" w:after="120"/>
              <w:jc w:val="center"/>
              <w:rPr>
                <w:b/>
              </w:rPr>
            </w:pPr>
          </w:p>
        </w:tc>
        <w:tc>
          <w:tcPr>
            <w:tcW w:w="720" w:type="dxa"/>
            <w:shd w:val="clear" w:color="auto" w:fill="auto"/>
          </w:tcPr>
          <w:p w14:paraId="40DA8328" w14:textId="77777777" w:rsidR="00464C5B" w:rsidRPr="00FD0F55" w:rsidRDefault="00464C5B" w:rsidP="00FD0F55">
            <w:pPr>
              <w:spacing w:before="120" w:after="120"/>
              <w:jc w:val="center"/>
              <w:rPr>
                <w:b/>
              </w:rPr>
            </w:pPr>
            <w:r w:rsidRPr="00FD0F55">
              <w:rPr>
                <w:b/>
              </w:rPr>
              <w:lastRenderedPageBreak/>
              <w:t>Ghi chú</w:t>
            </w:r>
          </w:p>
        </w:tc>
      </w:tr>
      <w:tr w:rsidR="00464C5B" w:rsidRPr="00FD0F55" w14:paraId="7BA4CE88" w14:textId="77777777" w:rsidTr="00FD0F55">
        <w:tc>
          <w:tcPr>
            <w:tcW w:w="642" w:type="dxa"/>
            <w:shd w:val="clear" w:color="auto" w:fill="auto"/>
          </w:tcPr>
          <w:p w14:paraId="365177F2" w14:textId="77777777" w:rsidR="00464C5B" w:rsidRPr="00FD0F55" w:rsidRDefault="00464C5B" w:rsidP="00FD0F55">
            <w:pPr>
              <w:spacing w:before="120" w:after="120"/>
              <w:jc w:val="both"/>
            </w:pPr>
            <w:r w:rsidRPr="00FD0F55">
              <w:t>1</w:t>
            </w:r>
          </w:p>
        </w:tc>
        <w:tc>
          <w:tcPr>
            <w:tcW w:w="1626" w:type="dxa"/>
            <w:shd w:val="clear" w:color="auto" w:fill="auto"/>
          </w:tcPr>
          <w:p w14:paraId="6E7354B4" w14:textId="77777777" w:rsidR="00464C5B" w:rsidRPr="00FD0F55" w:rsidRDefault="00464C5B" w:rsidP="00FD0F55">
            <w:pPr>
              <w:spacing w:before="120" w:after="120"/>
              <w:jc w:val="both"/>
            </w:pPr>
          </w:p>
        </w:tc>
        <w:tc>
          <w:tcPr>
            <w:tcW w:w="1980" w:type="dxa"/>
            <w:shd w:val="clear" w:color="auto" w:fill="auto"/>
          </w:tcPr>
          <w:p w14:paraId="59857CC4" w14:textId="77777777" w:rsidR="00464C5B" w:rsidRPr="00FD0F55" w:rsidRDefault="00464C5B" w:rsidP="00FD0F55">
            <w:pPr>
              <w:spacing w:before="120" w:after="120"/>
              <w:jc w:val="both"/>
            </w:pPr>
          </w:p>
        </w:tc>
        <w:tc>
          <w:tcPr>
            <w:tcW w:w="1440" w:type="dxa"/>
            <w:shd w:val="clear" w:color="auto" w:fill="auto"/>
          </w:tcPr>
          <w:p w14:paraId="7110634F" w14:textId="77777777" w:rsidR="00464C5B" w:rsidRPr="00FD0F55" w:rsidRDefault="00464C5B" w:rsidP="00FD0F55">
            <w:pPr>
              <w:spacing w:before="120" w:after="120"/>
              <w:jc w:val="both"/>
            </w:pPr>
          </w:p>
        </w:tc>
        <w:tc>
          <w:tcPr>
            <w:tcW w:w="1980" w:type="dxa"/>
            <w:shd w:val="clear" w:color="auto" w:fill="auto"/>
          </w:tcPr>
          <w:p w14:paraId="1CBED46C" w14:textId="77777777" w:rsidR="00464C5B" w:rsidRPr="00FD0F55" w:rsidRDefault="00464C5B" w:rsidP="00FD0F55">
            <w:pPr>
              <w:spacing w:before="120" w:after="120"/>
              <w:jc w:val="both"/>
            </w:pPr>
          </w:p>
        </w:tc>
        <w:tc>
          <w:tcPr>
            <w:tcW w:w="1170" w:type="dxa"/>
            <w:shd w:val="clear" w:color="auto" w:fill="auto"/>
          </w:tcPr>
          <w:p w14:paraId="5FE7FD7D" w14:textId="77777777" w:rsidR="00464C5B" w:rsidRPr="00FD0F55" w:rsidRDefault="00464C5B" w:rsidP="00FD0F55">
            <w:pPr>
              <w:spacing w:before="120" w:after="120"/>
              <w:jc w:val="both"/>
            </w:pPr>
          </w:p>
        </w:tc>
        <w:tc>
          <w:tcPr>
            <w:tcW w:w="720" w:type="dxa"/>
            <w:shd w:val="clear" w:color="auto" w:fill="auto"/>
          </w:tcPr>
          <w:p w14:paraId="61F47E79" w14:textId="77777777" w:rsidR="00464C5B" w:rsidRPr="00FD0F55" w:rsidRDefault="00464C5B" w:rsidP="00FD0F55">
            <w:pPr>
              <w:spacing w:before="120" w:after="120"/>
              <w:jc w:val="both"/>
            </w:pPr>
          </w:p>
        </w:tc>
      </w:tr>
      <w:tr w:rsidR="00464C5B" w:rsidRPr="00FD0F55" w14:paraId="483ABAF6" w14:textId="77777777" w:rsidTr="00FD0F55">
        <w:tc>
          <w:tcPr>
            <w:tcW w:w="642" w:type="dxa"/>
            <w:shd w:val="clear" w:color="auto" w:fill="auto"/>
          </w:tcPr>
          <w:p w14:paraId="7C942ACB" w14:textId="77777777" w:rsidR="00464C5B" w:rsidRPr="00FD0F55" w:rsidRDefault="00464C5B" w:rsidP="00FD0F55">
            <w:pPr>
              <w:spacing w:before="120" w:after="120"/>
              <w:jc w:val="both"/>
            </w:pPr>
            <w:r w:rsidRPr="00FD0F55">
              <w:t>2</w:t>
            </w:r>
          </w:p>
        </w:tc>
        <w:tc>
          <w:tcPr>
            <w:tcW w:w="1626" w:type="dxa"/>
            <w:shd w:val="clear" w:color="auto" w:fill="auto"/>
          </w:tcPr>
          <w:p w14:paraId="5B3AA375" w14:textId="77777777" w:rsidR="00464C5B" w:rsidRPr="00FD0F55" w:rsidRDefault="00464C5B" w:rsidP="00FD0F55">
            <w:pPr>
              <w:spacing w:before="120" w:after="120"/>
              <w:jc w:val="both"/>
            </w:pPr>
          </w:p>
        </w:tc>
        <w:tc>
          <w:tcPr>
            <w:tcW w:w="1980" w:type="dxa"/>
            <w:shd w:val="clear" w:color="auto" w:fill="auto"/>
          </w:tcPr>
          <w:p w14:paraId="739DA720" w14:textId="77777777" w:rsidR="00464C5B" w:rsidRPr="00FD0F55" w:rsidRDefault="00464C5B" w:rsidP="00FD0F55">
            <w:pPr>
              <w:spacing w:before="120" w:after="120"/>
              <w:jc w:val="both"/>
            </w:pPr>
          </w:p>
        </w:tc>
        <w:tc>
          <w:tcPr>
            <w:tcW w:w="1440" w:type="dxa"/>
            <w:shd w:val="clear" w:color="auto" w:fill="auto"/>
          </w:tcPr>
          <w:p w14:paraId="02217ED9" w14:textId="77777777" w:rsidR="00464C5B" w:rsidRPr="00FD0F55" w:rsidRDefault="00464C5B" w:rsidP="00FD0F55">
            <w:pPr>
              <w:spacing w:before="120" w:after="120"/>
              <w:jc w:val="both"/>
            </w:pPr>
          </w:p>
        </w:tc>
        <w:tc>
          <w:tcPr>
            <w:tcW w:w="1980" w:type="dxa"/>
            <w:shd w:val="clear" w:color="auto" w:fill="auto"/>
          </w:tcPr>
          <w:p w14:paraId="5A0C0700" w14:textId="77777777" w:rsidR="00464C5B" w:rsidRPr="00FD0F55" w:rsidRDefault="00464C5B" w:rsidP="00FD0F55">
            <w:pPr>
              <w:spacing w:before="120" w:after="120"/>
              <w:jc w:val="both"/>
            </w:pPr>
          </w:p>
        </w:tc>
        <w:tc>
          <w:tcPr>
            <w:tcW w:w="1170" w:type="dxa"/>
            <w:shd w:val="clear" w:color="auto" w:fill="auto"/>
          </w:tcPr>
          <w:p w14:paraId="1A755F60" w14:textId="77777777" w:rsidR="00464C5B" w:rsidRPr="00FD0F55" w:rsidRDefault="00464C5B" w:rsidP="00FD0F55">
            <w:pPr>
              <w:spacing w:before="120" w:after="120"/>
              <w:jc w:val="both"/>
            </w:pPr>
          </w:p>
        </w:tc>
        <w:tc>
          <w:tcPr>
            <w:tcW w:w="720" w:type="dxa"/>
            <w:shd w:val="clear" w:color="auto" w:fill="auto"/>
          </w:tcPr>
          <w:p w14:paraId="23D89E39" w14:textId="77777777" w:rsidR="00464C5B" w:rsidRPr="00FD0F55" w:rsidRDefault="00464C5B" w:rsidP="00FD0F55">
            <w:pPr>
              <w:spacing w:before="120" w:after="120"/>
              <w:jc w:val="both"/>
            </w:pPr>
          </w:p>
        </w:tc>
      </w:tr>
    </w:tbl>
    <w:p w14:paraId="1023496F" w14:textId="77777777" w:rsidR="00464C5B" w:rsidRDefault="00464C5B" w:rsidP="00C95FA4">
      <w:pPr>
        <w:spacing w:before="120" w:after="120"/>
        <w:ind w:firstLine="567"/>
        <w:jc w:val="both"/>
      </w:pPr>
      <w:r w:rsidRPr="00C32077">
        <w:rPr>
          <w:b/>
        </w:rPr>
        <w:t>III. KIẾN NGHỊ</w:t>
      </w:r>
      <w:r>
        <w:t xml:space="preserve"> </w:t>
      </w:r>
      <w:r w:rsidRPr="00C32077">
        <w:rPr>
          <w:i/>
        </w:rPr>
        <w:t>(nếu có)</w:t>
      </w:r>
    </w:p>
    <w:p w14:paraId="34C4E78A" w14:textId="77777777" w:rsidR="00050BF8" w:rsidRPr="004361FD" w:rsidRDefault="00050BF8">
      <w:pPr>
        <w:rPr>
          <w:color w:val="FF0000"/>
        </w:rPr>
      </w:pPr>
    </w:p>
    <w:sectPr w:rsidR="00050BF8" w:rsidRPr="004361FD" w:rsidSect="00AF26C5">
      <w:pgSz w:w="11907" w:h="16840" w:code="9"/>
      <w:pgMar w:top="1134" w:right="1134" w:bottom="1134" w:left="1701" w:header="425" w:footer="425"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81239"/>
    <w:multiLevelType w:val="hybridMultilevel"/>
    <w:tmpl w:val="0512CCDA"/>
    <w:lvl w:ilvl="0" w:tplc="029A2B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6784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6C5"/>
    <w:rsid w:val="000007D7"/>
    <w:rsid w:val="00001EA9"/>
    <w:rsid w:val="0001266C"/>
    <w:rsid w:val="00012F56"/>
    <w:rsid w:val="000137B3"/>
    <w:rsid w:val="00017C3D"/>
    <w:rsid w:val="00026831"/>
    <w:rsid w:val="0003028C"/>
    <w:rsid w:val="000306F9"/>
    <w:rsid w:val="00031D4C"/>
    <w:rsid w:val="00035615"/>
    <w:rsid w:val="00037D2D"/>
    <w:rsid w:val="00042943"/>
    <w:rsid w:val="00042EF2"/>
    <w:rsid w:val="0004647C"/>
    <w:rsid w:val="00050BF8"/>
    <w:rsid w:val="000526D8"/>
    <w:rsid w:val="000575B9"/>
    <w:rsid w:val="000579F2"/>
    <w:rsid w:val="000623A5"/>
    <w:rsid w:val="00064426"/>
    <w:rsid w:val="0007118E"/>
    <w:rsid w:val="00077EEC"/>
    <w:rsid w:val="00080365"/>
    <w:rsid w:val="00081338"/>
    <w:rsid w:val="00081D2D"/>
    <w:rsid w:val="00082C00"/>
    <w:rsid w:val="00090314"/>
    <w:rsid w:val="000938D2"/>
    <w:rsid w:val="00096CD4"/>
    <w:rsid w:val="000A0E38"/>
    <w:rsid w:val="000A51B5"/>
    <w:rsid w:val="000A61D1"/>
    <w:rsid w:val="000A67BB"/>
    <w:rsid w:val="000A7749"/>
    <w:rsid w:val="000B2917"/>
    <w:rsid w:val="000B5258"/>
    <w:rsid w:val="000C6978"/>
    <w:rsid w:val="000D0723"/>
    <w:rsid w:val="000D5B58"/>
    <w:rsid w:val="000E0A28"/>
    <w:rsid w:val="000E1C70"/>
    <w:rsid w:val="000E26A4"/>
    <w:rsid w:val="000E7155"/>
    <w:rsid w:val="000F19C6"/>
    <w:rsid w:val="000F1B12"/>
    <w:rsid w:val="000F2C7E"/>
    <w:rsid w:val="000F782B"/>
    <w:rsid w:val="00105B6D"/>
    <w:rsid w:val="001068E5"/>
    <w:rsid w:val="00112A1B"/>
    <w:rsid w:val="0011320D"/>
    <w:rsid w:val="001150DA"/>
    <w:rsid w:val="00116104"/>
    <w:rsid w:val="001244A0"/>
    <w:rsid w:val="00130A24"/>
    <w:rsid w:val="0013216D"/>
    <w:rsid w:val="001325F0"/>
    <w:rsid w:val="00135CB8"/>
    <w:rsid w:val="00136254"/>
    <w:rsid w:val="00142D1F"/>
    <w:rsid w:val="0015617D"/>
    <w:rsid w:val="00162AF4"/>
    <w:rsid w:val="00174FA3"/>
    <w:rsid w:val="0017610A"/>
    <w:rsid w:val="00182DF2"/>
    <w:rsid w:val="001852CA"/>
    <w:rsid w:val="001875BE"/>
    <w:rsid w:val="001936D6"/>
    <w:rsid w:val="00194435"/>
    <w:rsid w:val="001A126E"/>
    <w:rsid w:val="001B4D3F"/>
    <w:rsid w:val="001C17A0"/>
    <w:rsid w:val="001C7BA9"/>
    <w:rsid w:val="001D7465"/>
    <w:rsid w:val="001E1CF4"/>
    <w:rsid w:val="001E477B"/>
    <w:rsid w:val="001F0857"/>
    <w:rsid w:val="001F18BF"/>
    <w:rsid w:val="001F703D"/>
    <w:rsid w:val="001F7273"/>
    <w:rsid w:val="001F7FD3"/>
    <w:rsid w:val="0020472F"/>
    <w:rsid w:val="00215CAD"/>
    <w:rsid w:val="00216D60"/>
    <w:rsid w:val="00221678"/>
    <w:rsid w:val="002360E6"/>
    <w:rsid w:val="002435E2"/>
    <w:rsid w:val="0024393E"/>
    <w:rsid w:val="0024475C"/>
    <w:rsid w:val="00245196"/>
    <w:rsid w:val="00246B6C"/>
    <w:rsid w:val="0024760C"/>
    <w:rsid w:val="00247BC6"/>
    <w:rsid w:val="0025293C"/>
    <w:rsid w:val="00256B26"/>
    <w:rsid w:val="00265325"/>
    <w:rsid w:val="00265FF0"/>
    <w:rsid w:val="00270663"/>
    <w:rsid w:val="00272868"/>
    <w:rsid w:val="00274A5E"/>
    <w:rsid w:val="00283787"/>
    <w:rsid w:val="00294771"/>
    <w:rsid w:val="00294BE8"/>
    <w:rsid w:val="002A2F10"/>
    <w:rsid w:val="002A33CD"/>
    <w:rsid w:val="002A42C5"/>
    <w:rsid w:val="002A444B"/>
    <w:rsid w:val="002B02E5"/>
    <w:rsid w:val="002C45E4"/>
    <w:rsid w:val="002D5A53"/>
    <w:rsid w:val="002D63D1"/>
    <w:rsid w:val="002D6BF7"/>
    <w:rsid w:val="002E4416"/>
    <w:rsid w:val="002F1456"/>
    <w:rsid w:val="002F3179"/>
    <w:rsid w:val="002F35FB"/>
    <w:rsid w:val="002F68D2"/>
    <w:rsid w:val="00300563"/>
    <w:rsid w:val="0030489A"/>
    <w:rsid w:val="00304CB4"/>
    <w:rsid w:val="00310557"/>
    <w:rsid w:val="003114E8"/>
    <w:rsid w:val="00312944"/>
    <w:rsid w:val="003139D6"/>
    <w:rsid w:val="003145DF"/>
    <w:rsid w:val="00316E7C"/>
    <w:rsid w:val="0032521A"/>
    <w:rsid w:val="00335261"/>
    <w:rsid w:val="00344DF6"/>
    <w:rsid w:val="003521B3"/>
    <w:rsid w:val="003545C9"/>
    <w:rsid w:val="0035669A"/>
    <w:rsid w:val="0036373F"/>
    <w:rsid w:val="00364862"/>
    <w:rsid w:val="0036536A"/>
    <w:rsid w:val="003754F7"/>
    <w:rsid w:val="003B3AD4"/>
    <w:rsid w:val="003B4668"/>
    <w:rsid w:val="003C2DA9"/>
    <w:rsid w:val="003C2FAB"/>
    <w:rsid w:val="003D250F"/>
    <w:rsid w:val="003E16BB"/>
    <w:rsid w:val="003F3289"/>
    <w:rsid w:val="003F69C4"/>
    <w:rsid w:val="0040625C"/>
    <w:rsid w:val="00407144"/>
    <w:rsid w:val="00410E4E"/>
    <w:rsid w:val="004153F3"/>
    <w:rsid w:val="004242BA"/>
    <w:rsid w:val="00425A62"/>
    <w:rsid w:val="004301B4"/>
    <w:rsid w:val="0043355F"/>
    <w:rsid w:val="00434F12"/>
    <w:rsid w:val="004361FD"/>
    <w:rsid w:val="00440648"/>
    <w:rsid w:val="004474EB"/>
    <w:rsid w:val="0045668C"/>
    <w:rsid w:val="00461094"/>
    <w:rsid w:val="00464C5B"/>
    <w:rsid w:val="004662F8"/>
    <w:rsid w:val="004777EE"/>
    <w:rsid w:val="00482C3C"/>
    <w:rsid w:val="00485BBC"/>
    <w:rsid w:val="00487882"/>
    <w:rsid w:val="00491DE5"/>
    <w:rsid w:val="00493091"/>
    <w:rsid w:val="004A0DB3"/>
    <w:rsid w:val="004A24CC"/>
    <w:rsid w:val="004A2568"/>
    <w:rsid w:val="004B0D90"/>
    <w:rsid w:val="004B24E1"/>
    <w:rsid w:val="004C5531"/>
    <w:rsid w:val="004D6C9D"/>
    <w:rsid w:val="004E0CE1"/>
    <w:rsid w:val="004E4FA5"/>
    <w:rsid w:val="004E5E5F"/>
    <w:rsid w:val="004F1701"/>
    <w:rsid w:val="00510025"/>
    <w:rsid w:val="00512990"/>
    <w:rsid w:val="005139F0"/>
    <w:rsid w:val="00515B5B"/>
    <w:rsid w:val="00517058"/>
    <w:rsid w:val="005229C9"/>
    <w:rsid w:val="0052388D"/>
    <w:rsid w:val="00531491"/>
    <w:rsid w:val="00542918"/>
    <w:rsid w:val="00543CBA"/>
    <w:rsid w:val="0054436D"/>
    <w:rsid w:val="00555AFC"/>
    <w:rsid w:val="00561AAF"/>
    <w:rsid w:val="005637BD"/>
    <w:rsid w:val="005725C5"/>
    <w:rsid w:val="00583BCD"/>
    <w:rsid w:val="00586EDA"/>
    <w:rsid w:val="00594E39"/>
    <w:rsid w:val="005952CA"/>
    <w:rsid w:val="005975A6"/>
    <w:rsid w:val="005A27D4"/>
    <w:rsid w:val="005A2815"/>
    <w:rsid w:val="005A4D67"/>
    <w:rsid w:val="005A552A"/>
    <w:rsid w:val="005A70C0"/>
    <w:rsid w:val="005B32C6"/>
    <w:rsid w:val="005B44F5"/>
    <w:rsid w:val="005B6FFB"/>
    <w:rsid w:val="005B70F4"/>
    <w:rsid w:val="005B760D"/>
    <w:rsid w:val="005C002A"/>
    <w:rsid w:val="005C11F2"/>
    <w:rsid w:val="005C7DC9"/>
    <w:rsid w:val="005D1A1A"/>
    <w:rsid w:val="005D1DDE"/>
    <w:rsid w:val="005D2899"/>
    <w:rsid w:val="005D3503"/>
    <w:rsid w:val="005D3E1F"/>
    <w:rsid w:val="005D4637"/>
    <w:rsid w:val="005E0A3D"/>
    <w:rsid w:val="005E0DE5"/>
    <w:rsid w:val="005E0F34"/>
    <w:rsid w:val="005E37EC"/>
    <w:rsid w:val="005E41CF"/>
    <w:rsid w:val="00603EAB"/>
    <w:rsid w:val="00605349"/>
    <w:rsid w:val="00610A60"/>
    <w:rsid w:val="006140CB"/>
    <w:rsid w:val="0061693B"/>
    <w:rsid w:val="00624A27"/>
    <w:rsid w:val="006302D3"/>
    <w:rsid w:val="00630C32"/>
    <w:rsid w:val="00630F08"/>
    <w:rsid w:val="00634060"/>
    <w:rsid w:val="00637C9D"/>
    <w:rsid w:val="00647B5C"/>
    <w:rsid w:val="00657A33"/>
    <w:rsid w:val="00666B37"/>
    <w:rsid w:val="00674347"/>
    <w:rsid w:val="00682DB2"/>
    <w:rsid w:val="00687478"/>
    <w:rsid w:val="006A5A13"/>
    <w:rsid w:val="006A6C75"/>
    <w:rsid w:val="006B0D1B"/>
    <w:rsid w:val="006B1D2F"/>
    <w:rsid w:val="006B2CCE"/>
    <w:rsid w:val="006B7DF9"/>
    <w:rsid w:val="006C3E2B"/>
    <w:rsid w:val="006C53E7"/>
    <w:rsid w:val="006C6B6A"/>
    <w:rsid w:val="006D1C40"/>
    <w:rsid w:val="006D27D9"/>
    <w:rsid w:val="006D52BF"/>
    <w:rsid w:val="006E23A4"/>
    <w:rsid w:val="006E4ACE"/>
    <w:rsid w:val="006E7B19"/>
    <w:rsid w:val="00703C19"/>
    <w:rsid w:val="00707151"/>
    <w:rsid w:val="00711D86"/>
    <w:rsid w:val="0071275C"/>
    <w:rsid w:val="007168AD"/>
    <w:rsid w:val="00720587"/>
    <w:rsid w:val="00724FAB"/>
    <w:rsid w:val="007327C1"/>
    <w:rsid w:val="00743307"/>
    <w:rsid w:val="00745C19"/>
    <w:rsid w:val="007532A5"/>
    <w:rsid w:val="00754198"/>
    <w:rsid w:val="007626E6"/>
    <w:rsid w:val="00765701"/>
    <w:rsid w:val="007803DC"/>
    <w:rsid w:val="007804FA"/>
    <w:rsid w:val="00783D43"/>
    <w:rsid w:val="0078791B"/>
    <w:rsid w:val="00792762"/>
    <w:rsid w:val="00792B06"/>
    <w:rsid w:val="00793395"/>
    <w:rsid w:val="007966B3"/>
    <w:rsid w:val="00797610"/>
    <w:rsid w:val="007A7448"/>
    <w:rsid w:val="007B50FE"/>
    <w:rsid w:val="007B519C"/>
    <w:rsid w:val="007B6E52"/>
    <w:rsid w:val="007C45A2"/>
    <w:rsid w:val="007C5775"/>
    <w:rsid w:val="007D2545"/>
    <w:rsid w:val="007E1ECF"/>
    <w:rsid w:val="007E2599"/>
    <w:rsid w:val="007E69EC"/>
    <w:rsid w:val="00800A06"/>
    <w:rsid w:val="008037E3"/>
    <w:rsid w:val="008058AB"/>
    <w:rsid w:val="008078E2"/>
    <w:rsid w:val="00812947"/>
    <w:rsid w:val="0081647B"/>
    <w:rsid w:val="008167E2"/>
    <w:rsid w:val="00816BD5"/>
    <w:rsid w:val="008253D7"/>
    <w:rsid w:val="0083076B"/>
    <w:rsid w:val="00831009"/>
    <w:rsid w:val="00831174"/>
    <w:rsid w:val="00832CEB"/>
    <w:rsid w:val="00835076"/>
    <w:rsid w:val="0083648D"/>
    <w:rsid w:val="00842E41"/>
    <w:rsid w:val="00844E0F"/>
    <w:rsid w:val="00844EE3"/>
    <w:rsid w:val="008560A5"/>
    <w:rsid w:val="00871126"/>
    <w:rsid w:val="00882593"/>
    <w:rsid w:val="0088326A"/>
    <w:rsid w:val="00896E90"/>
    <w:rsid w:val="008A32C1"/>
    <w:rsid w:val="008A4CA3"/>
    <w:rsid w:val="008A5ED1"/>
    <w:rsid w:val="008B4C3E"/>
    <w:rsid w:val="008B68F7"/>
    <w:rsid w:val="008B7135"/>
    <w:rsid w:val="008B7E29"/>
    <w:rsid w:val="008C3821"/>
    <w:rsid w:val="008F2A88"/>
    <w:rsid w:val="008F59D1"/>
    <w:rsid w:val="0090163E"/>
    <w:rsid w:val="009019F4"/>
    <w:rsid w:val="00901EF9"/>
    <w:rsid w:val="009028C8"/>
    <w:rsid w:val="009030CD"/>
    <w:rsid w:val="0090554D"/>
    <w:rsid w:val="009057B3"/>
    <w:rsid w:val="00911E99"/>
    <w:rsid w:val="009124D0"/>
    <w:rsid w:val="00920723"/>
    <w:rsid w:val="00924122"/>
    <w:rsid w:val="0093612C"/>
    <w:rsid w:val="00936868"/>
    <w:rsid w:val="009451C3"/>
    <w:rsid w:val="009635B3"/>
    <w:rsid w:val="009643EF"/>
    <w:rsid w:val="0096482F"/>
    <w:rsid w:val="00964B4A"/>
    <w:rsid w:val="00974837"/>
    <w:rsid w:val="00984B32"/>
    <w:rsid w:val="0098617F"/>
    <w:rsid w:val="009862DC"/>
    <w:rsid w:val="009937AC"/>
    <w:rsid w:val="00994FEF"/>
    <w:rsid w:val="0099508A"/>
    <w:rsid w:val="009A241D"/>
    <w:rsid w:val="009A760D"/>
    <w:rsid w:val="009A7A4C"/>
    <w:rsid w:val="009B67CF"/>
    <w:rsid w:val="009B7D38"/>
    <w:rsid w:val="009C2618"/>
    <w:rsid w:val="009C3611"/>
    <w:rsid w:val="009C465A"/>
    <w:rsid w:val="009D17DD"/>
    <w:rsid w:val="009D39AF"/>
    <w:rsid w:val="009E1581"/>
    <w:rsid w:val="009E3902"/>
    <w:rsid w:val="009E41B0"/>
    <w:rsid w:val="009E5965"/>
    <w:rsid w:val="009E5F90"/>
    <w:rsid w:val="009E6D1A"/>
    <w:rsid w:val="009F51B2"/>
    <w:rsid w:val="00A032C6"/>
    <w:rsid w:val="00A03536"/>
    <w:rsid w:val="00A035BD"/>
    <w:rsid w:val="00A03CE4"/>
    <w:rsid w:val="00A16F22"/>
    <w:rsid w:val="00A175EF"/>
    <w:rsid w:val="00A20821"/>
    <w:rsid w:val="00A225EA"/>
    <w:rsid w:val="00A26794"/>
    <w:rsid w:val="00A31E90"/>
    <w:rsid w:val="00A33845"/>
    <w:rsid w:val="00A33FD0"/>
    <w:rsid w:val="00A3551D"/>
    <w:rsid w:val="00A43224"/>
    <w:rsid w:val="00A445F1"/>
    <w:rsid w:val="00A510CE"/>
    <w:rsid w:val="00A545B7"/>
    <w:rsid w:val="00A5460C"/>
    <w:rsid w:val="00A548DE"/>
    <w:rsid w:val="00A62A9D"/>
    <w:rsid w:val="00A63AB7"/>
    <w:rsid w:val="00A64919"/>
    <w:rsid w:val="00A704C5"/>
    <w:rsid w:val="00A77184"/>
    <w:rsid w:val="00A82C0D"/>
    <w:rsid w:val="00A8461D"/>
    <w:rsid w:val="00A96ACC"/>
    <w:rsid w:val="00A96F34"/>
    <w:rsid w:val="00AA3279"/>
    <w:rsid w:val="00AA6B1C"/>
    <w:rsid w:val="00AA7913"/>
    <w:rsid w:val="00AC3436"/>
    <w:rsid w:val="00AC58F0"/>
    <w:rsid w:val="00AD582A"/>
    <w:rsid w:val="00AD6A08"/>
    <w:rsid w:val="00AE092D"/>
    <w:rsid w:val="00AE0B54"/>
    <w:rsid w:val="00AE2A3B"/>
    <w:rsid w:val="00AE2D32"/>
    <w:rsid w:val="00AF0B18"/>
    <w:rsid w:val="00AF26C5"/>
    <w:rsid w:val="00AF2862"/>
    <w:rsid w:val="00AF2AB3"/>
    <w:rsid w:val="00B00A74"/>
    <w:rsid w:val="00B06108"/>
    <w:rsid w:val="00B0618C"/>
    <w:rsid w:val="00B11C49"/>
    <w:rsid w:val="00B213C9"/>
    <w:rsid w:val="00B2234C"/>
    <w:rsid w:val="00B2353E"/>
    <w:rsid w:val="00B23B13"/>
    <w:rsid w:val="00B27BC5"/>
    <w:rsid w:val="00B31CB5"/>
    <w:rsid w:val="00B362EF"/>
    <w:rsid w:val="00B4128B"/>
    <w:rsid w:val="00B438B1"/>
    <w:rsid w:val="00B50807"/>
    <w:rsid w:val="00B53612"/>
    <w:rsid w:val="00B63723"/>
    <w:rsid w:val="00B64BE0"/>
    <w:rsid w:val="00B6652F"/>
    <w:rsid w:val="00B71C74"/>
    <w:rsid w:val="00B72C73"/>
    <w:rsid w:val="00B74BDD"/>
    <w:rsid w:val="00B80492"/>
    <w:rsid w:val="00B80D65"/>
    <w:rsid w:val="00BA11B7"/>
    <w:rsid w:val="00BA1955"/>
    <w:rsid w:val="00BA6286"/>
    <w:rsid w:val="00BA79AB"/>
    <w:rsid w:val="00BB2EE6"/>
    <w:rsid w:val="00BB2F48"/>
    <w:rsid w:val="00BB3AA9"/>
    <w:rsid w:val="00BB5E34"/>
    <w:rsid w:val="00BD3F54"/>
    <w:rsid w:val="00BE6761"/>
    <w:rsid w:val="00BF1578"/>
    <w:rsid w:val="00BF3359"/>
    <w:rsid w:val="00BF649C"/>
    <w:rsid w:val="00C0775E"/>
    <w:rsid w:val="00C12158"/>
    <w:rsid w:val="00C12557"/>
    <w:rsid w:val="00C16734"/>
    <w:rsid w:val="00C16D95"/>
    <w:rsid w:val="00C17580"/>
    <w:rsid w:val="00C22C18"/>
    <w:rsid w:val="00C26768"/>
    <w:rsid w:val="00C41453"/>
    <w:rsid w:val="00C6121F"/>
    <w:rsid w:val="00C6756C"/>
    <w:rsid w:val="00C67F14"/>
    <w:rsid w:val="00C70471"/>
    <w:rsid w:val="00C72196"/>
    <w:rsid w:val="00C7401A"/>
    <w:rsid w:val="00C803EA"/>
    <w:rsid w:val="00C83AB8"/>
    <w:rsid w:val="00C90721"/>
    <w:rsid w:val="00C9090F"/>
    <w:rsid w:val="00C9405F"/>
    <w:rsid w:val="00C94629"/>
    <w:rsid w:val="00C97387"/>
    <w:rsid w:val="00CA5AFF"/>
    <w:rsid w:val="00CA68E1"/>
    <w:rsid w:val="00CA6FEC"/>
    <w:rsid w:val="00CA7340"/>
    <w:rsid w:val="00CB0D1E"/>
    <w:rsid w:val="00CB4064"/>
    <w:rsid w:val="00CB54A6"/>
    <w:rsid w:val="00CB6C6E"/>
    <w:rsid w:val="00CD1E0A"/>
    <w:rsid w:val="00CD68AF"/>
    <w:rsid w:val="00D01F84"/>
    <w:rsid w:val="00D0208C"/>
    <w:rsid w:val="00D0366A"/>
    <w:rsid w:val="00D036E7"/>
    <w:rsid w:val="00D063A0"/>
    <w:rsid w:val="00D11E52"/>
    <w:rsid w:val="00D20C59"/>
    <w:rsid w:val="00D26A25"/>
    <w:rsid w:val="00D33D2A"/>
    <w:rsid w:val="00D436E8"/>
    <w:rsid w:val="00D44289"/>
    <w:rsid w:val="00D44D4F"/>
    <w:rsid w:val="00D50705"/>
    <w:rsid w:val="00D542DB"/>
    <w:rsid w:val="00D60056"/>
    <w:rsid w:val="00D6075A"/>
    <w:rsid w:val="00D60A77"/>
    <w:rsid w:val="00D61661"/>
    <w:rsid w:val="00D7041F"/>
    <w:rsid w:val="00D70B8F"/>
    <w:rsid w:val="00D72310"/>
    <w:rsid w:val="00D73CA9"/>
    <w:rsid w:val="00D73D1E"/>
    <w:rsid w:val="00D80BD5"/>
    <w:rsid w:val="00D80DCB"/>
    <w:rsid w:val="00D815C1"/>
    <w:rsid w:val="00D873D4"/>
    <w:rsid w:val="00DA457E"/>
    <w:rsid w:val="00DA4981"/>
    <w:rsid w:val="00DA6DD3"/>
    <w:rsid w:val="00DA7F1D"/>
    <w:rsid w:val="00DB079C"/>
    <w:rsid w:val="00DB42BE"/>
    <w:rsid w:val="00DB4DBD"/>
    <w:rsid w:val="00DB6A99"/>
    <w:rsid w:val="00DC38C8"/>
    <w:rsid w:val="00DC7211"/>
    <w:rsid w:val="00DC779C"/>
    <w:rsid w:val="00DD65E3"/>
    <w:rsid w:val="00DE49F8"/>
    <w:rsid w:val="00DE6EE3"/>
    <w:rsid w:val="00DF66D2"/>
    <w:rsid w:val="00E02113"/>
    <w:rsid w:val="00E1311B"/>
    <w:rsid w:val="00E20DCC"/>
    <w:rsid w:val="00E40A5D"/>
    <w:rsid w:val="00E457B0"/>
    <w:rsid w:val="00E510F4"/>
    <w:rsid w:val="00E513FA"/>
    <w:rsid w:val="00E51EF8"/>
    <w:rsid w:val="00E52476"/>
    <w:rsid w:val="00E5705E"/>
    <w:rsid w:val="00E676CF"/>
    <w:rsid w:val="00E70C0E"/>
    <w:rsid w:val="00E71D3C"/>
    <w:rsid w:val="00E71D7E"/>
    <w:rsid w:val="00E740A2"/>
    <w:rsid w:val="00E7594C"/>
    <w:rsid w:val="00E802F8"/>
    <w:rsid w:val="00E827FB"/>
    <w:rsid w:val="00E84D93"/>
    <w:rsid w:val="00E91D4A"/>
    <w:rsid w:val="00EB29F6"/>
    <w:rsid w:val="00EB7B24"/>
    <w:rsid w:val="00EC15DD"/>
    <w:rsid w:val="00ED2843"/>
    <w:rsid w:val="00ED34FE"/>
    <w:rsid w:val="00ED51DC"/>
    <w:rsid w:val="00ED6971"/>
    <w:rsid w:val="00ED7F78"/>
    <w:rsid w:val="00EE21F1"/>
    <w:rsid w:val="00EF06BE"/>
    <w:rsid w:val="00EF17C2"/>
    <w:rsid w:val="00EF4367"/>
    <w:rsid w:val="00EF5686"/>
    <w:rsid w:val="00F02EC7"/>
    <w:rsid w:val="00F06344"/>
    <w:rsid w:val="00F1035C"/>
    <w:rsid w:val="00F15160"/>
    <w:rsid w:val="00F2116A"/>
    <w:rsid w:val="00F227F4"/>
    <w:rsid w:val="00F229FC"/>
    <w:rsid w:val="00F25584"/>
    <w:rsid w:val="00F27813"/>
    <w:rsid w:val="00F3702D"/>
    <w:rsid w:val="00F371EC"/>
    <w:rsid w:val="00F4084E"/>
    <w:rsid w:val="00F47DB2"/>
    <w:rsid w:val="00F51168"/>
    <w:rsid w:val="00F62172"/>
    <w:rsid w:val="00F62CA7"/>
    <w:rsid w:val="00F67A34"/>
    <w:rsid w:val="00F83E3E"/>
    <w:rsid w:val="00F90840"/>
    <w:rsid w:val="00F92636"/>
    <w:rsid w:val="00F94328"/>
    <w:rsid w:val="00F96B64"/>
    <w:rsid w:val="00FA0596"/>
    <w:rsid w:val="00FA43E5"/>
    <w:rsid w:val="00FA479B"/>
    <w:rsid w:val="00FA5AB9"/>
    <w:rsid w:val="00FB3DA0"/>
    <w:rsid w:val="00FB4DD2"/>
    <w:rsid w:val="00FB5CD7"/>
    <w:rsid w:val="00FC3E3D"/>
    <w:rsid w:val="00FD0633"/>
    <w:rsid w:val="00FD1B5A"/>
    <w:rsid w:val="00FD456C"/>
    <w:rsid w:val="00FE62FC"/>
    <w:rsid w:val="00FF0DDD"/>
    <w:rsid w:val="00FF29D0"/>
    <w:rsid w:val="00FF44A3"/>
    <w:rsid w:val="00FF6E05"/>
    <w:rsid w:val="00FF7392"/>
    <w:rsid w:val="00FF7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9EC13"/>
  <w15:chartTrackingRefBased/>
  <w15:docId w15:val="{51E049D7-3917-4561-BFBC-EB4F992D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0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Nguyễn Tá Hùng</cp:lastModifiedBy>
  <cp:revision>2</cp:revision>
  <dcterms:created xsi:type="dcterms:W3CDTF">2025-04-16T09:19:00Z</dcterms:created>
  <dcterms:modified xsi:type="dcterms:W3CDTF">2025-04-16T09:19:00Z</dcterms:modified>
</cp:coreProperties>
</file>